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4E89" w:rsidRPr="00674DDE" w:rsidRDefault="00AF4E89">
      <w:pPr>
        <w:pStyle w:val="Nadpis1"/>
        <w:rPr>
          <w:rFonts w:ascii="Arial" w:hAnsi="Arial"/>
          <w:sz w:val="28"/>
          <w:szCs w:val="28"/>
        </w:rPr>
      </w:pPr>
      <w:r w:rsidRPr="00674DDE">
        <w:rPr>
          <w:rFonts w:ascii="Arial" w:hAnsi="Arial"/>
          <w:sz w:val="28"/>
          <w:szCs w:val="28"/>
        </w:rPr>
        <w:t>Formát</w:t>
      </w:r>
      <w:r w:rsidR="00674DDE">
        <w:rPr>
          <w:rFonts w:ascii="Arial" w:hAnsi="Arial"/>
          <w:sz w:val="28"/>
          <w:szCs w:val="28"/>
        </w:rPr>
        <w:t xml:space="preserve"> </w:t>
      </w:r>
      <w:r w:rsidR="00890134">
        <w:rPr>
          <w:rFonts w:ascii="Arial" w:hAnsi="Arial"/>
          <w:sz w:val="28"/>
          <w:szCs w:val="28"/>
        </w:rPr>
        <w:t>text</w:t>
      </w:r>
      <w:r w:rsidRPr="00674DDE">
        <w:rPr>
          <w:rFonts w:ascii="Arial" w:hAnsi="Arial"/>
          <w:sz w:val="28"/>
          <w:szCs w:val="28"/>
        </w:rPr>
        <w:t>u pro sborník</w:t>
      </w:r>
      <w:r w:rsidR="00D47043" w:rsidRPr="00674DDE">
        <w:rPr>
          <w:rFonts w:ascii="Arial" w:hAnsi="Arial"/>
          <w:sz w:val="28"/>
          <w:szCs w:val="28"/>
        </w:rPr>
        <w:t xml:space="preserve"> </w:t>
      </w:r>
      <w:r w:rsidR="002C08C3">
        <w:rPr>
          <w:rFonts w:ascii="Arial" w:hAnsi="Arial"/>
          <w:sz w:val="28"/>
          <w:szCs w:val="28"/>
        </w:rPr>
        <w:t>K</w:t>
      </w:r>
      <w:r w:rsidR="00674DDE" w:rsidRPr="00674DDE">
        <w:rPr>
          <w:rFonts w:ascii="Arial" w:hAnsi="Arial"/>
          <w:sz w:val="28"/>
          <w:szCs w:val="28"/>
        </w:rPr>
        <w:t xml:space="preserve">onference </w:t>
      </w:r>
      <w:r w:rsidR="002C08C3">
        <w:rPr>
          <w:rFonts w:ascii="Arial" w:hAnsi="Arial"/>
          <w:sz w:val="28"/>
          <w:szCs w:val="28"/>
        </w:rPr>
        <w:t>p</w:t>
      </w:r>
      <w:r w:rsidR="00D47043" w:rsidRPr="00674DDE">
        <w:rPr>
          <w:rFonts w:ascii="Arial" w:hAnsi="Arial"/>
          <w:sz w:val="28"/>
          <w:szCs w:val="28"/>
        </w:rPr>
        <w:t>igmenty a pojiva</w:t>
      </w:r>
    </w:p>
    <w:p w:rsidR="00AF4E89" w:rsidRDefault="00AF4E89">
      <w:pPr>
        <w:rPr>
          <w:rFonts w:ascii="Arial" w:hAnsi="Arial"/>
        </w:rPr>
      </w:pPr>
    </w:p>
    <w:p w:rsidR="00E11363" w:rsidRPr="00E11363" w:rsidRDefault="00E11363" w:rsidP="00E11363"/>
    <w:tbl>
      <w:tblPr>
        <w:tblW w:w="93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0"/>
        <w:gridCol w:w="1620"/>
        <w:gridCol w:w="4032"/>
      </w:tblGrid>
      <w:tr w:rsidR="00E11363" w:rsidRPr="00E11363" w:rsidTr="00890134"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</w:tcPr>
          <w:p w:rsidR="00E11363" w:rsidRPr="00E11363" w:rsidRDefault="00E11363" w:rsidP="006B244C">
            <w:r w:rsidRPr="00E11363">
              <w:t xml:space="preserve">Textový editor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11363" w:rsidRPr="00E11363" w:rsidRDefault="00E11363" w:rsidP="006B244C">
            <w:r w:rsidRPr="00E11363">
              <w:t>MS Word</w:t>
            </w: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</w:tcPr>
          <w:p w:rsidR="00E11363" w:rsidRPr="00E11363" w:rsidRDefault="00E11363" w:rsidP="006B244C"/>
        </w:tc>
      </w:tr>
      <w:tr w:rsidR="00E11363" w:rsidRPr="00E11363" w:rsidTr="00890134"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</w:tcPr>
          <w:p w:rsidR="00E11363" w:rsidRPr="00E11363" w:rsidRDefault="00E11363" w:rsidP="006B244C">
            <w:r w:rsidRPr="00E11363">
              <w:t>Písmo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11363" w:rsidRPr="00674DDE" w:rsidRDefault="00E11363" w:rsidP="006B244C">
            <w:r w:rsidRPr="00674DDE">
              <w:t>(</w:t>
            </w:r>
            <w:proofErr w:type="spellStart"/>
            <w:r w:rsidRPr="00674DDE">
              <w:t>Times</w:t>
            </w:r>
            <w:proofErr w:type="spellEnd"/>
            <w:r w:rsidRPr="00674DDE">
              <w:t>)</w:t>
            </w: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</w:tcPr>
          <w:p w:rsidR="00E11363" w:rsidRPr="00674DDE" w:rsidRDefault="00262F20" w:rsidP="00262F20">
            <w:r>
              <w:t>Velikost 11</w:t>
            </w:r>
          </w:p>
        </w:tc>
      </w:tr>
      <w:tr w:rsidR="00890134" w:rsidRPr="00E11363" w:rsidTr="00DD46AA">
        <w:tc>
          <w:tcPr>
            <w:tcW w:w="3650" w:type="dxa"/>
            <w:tcBorders>
              <w:top w:val="single" w:sz="4" w:space="0" w:color="auto"/>
            </w:tcBorders>
          </w:tcPr>
          <w:p w:rsidR="00890134" w:rsidRPr="00E11363" w:rsidRDefault="00890134" w:rsidP="006B244C">
            <w:r w:rsidRPr="00E11363">
              <w:t>Mezery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90134" w:rsidRPr="00E11363" w:rsidRDefault="00890134" w:rsidP="006B244C">
            <w:r w:rsidRPr="00E11363">
              <w:t>Před</w:t>
            </w:r>
          </w:p>
        </w:tc>
        <w:tc>
          <w:tcPr>
            <w:tcW w:w="4032" w:type="dxa"/>
            <w:tcBorders>
              <w:top w:val="single" w:sz="4" w:space="0" w:color="auto"/>
            </w:tcBorders>
          </w:tcPr>
          <w:p w:rsidR="00890134" w:rsidRPr="00E11363" w:rsidRDefault="00890134" w:rsidP="006B244C">
            <w:r w:rsidRPr="00E11363">
              <w:t>0</w:t>
            </w:r>
          </w:p>
        </w:tc>
      </w:tr>
      <w:tr w:rsidR="00890134" w:rsidRPr="00E11363" w:rsidTr="00DD46AA">
        <w:tc>
          <w:tcPr>
            <w:tcW w:w="3650" w:type="dxa"/>
            <w:tcBorders>
              <w:bottom w:val="single" w:sz="4" w:space="0" w:color="auto"/>
            </w:tcBorders>
          </w:tcPr>
          <w:p w:rsidR="00890134" w:rsidRPr="00E11363" w:rsidRDefault="00890134" w:rsidP="006B244C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90134" w:rsidRPr="00E11363" w:rsidRDefault="00890134" w:rsidP="006B244C">
            <w:r w:rsidRPr="00E11363">
              <w:t>Za</w:t>
            </w:r>
          </w:p>
        </w:tc>
        <w:tc>
          <w:tcPr>
            <w:tcW w:w="4032" w:type="dxa"/>
            <w:tcBorders>
              <w:bottom w:val="single" w:sz="4" w:space="0" w:color="auto"/>
            </w:tcBorders>
          </w:tcPr>
          <w:p w:rsidR="00890134" w:rsidRPr="00E11363" w:rsidRDefault="00890134" w:rsidP="006B244C">
            <w:r>
              <w:t>6</w:t>
            </w:r>
          </w:p>
        </w:tc>
      </w:tr>
      <w:tr w:rsidR="00890134" w:rsidRPr="00E11363" w:rsidTr="00890134">
        <w:tc>
          <w:tcPr>
            <w:tcW w:w="3650" w:type="dxa"/>
            <w:tcBorders>
              <w:bottom w:val="single" w:sz="4" w:space="0" w:color="auto"/>
            </w:tcBorders>
          </w:tcPr>
          <w:p w:rsidR="00890134" w:rsidRPr="00E11363" w:rsidRDefault="00890134" w:rsidP="006B244C">
            <w:pPr>
              <w:rPr>
                <w:b/>
                <w:bCs/>
              </w:rPr>
            </w:pPr>
            <w:r w:rsidRPr="00E11363">
              <w:t xml:space="preserve">Zarovnání: </w:t>
            </w:r>
            <w:r w:rsidRPr="00E11363">
              <w:rPr>
                <w:b/>
                <w:bCs/>
              </w:rPr>
              <w:t>N</w:t>
            </w:r>
            <w:r w:rsidRPr="00E11363">
              <w:rPr>
                <w:b/>
                <w:bCs/>
                <w:caps/>
              </w:rPr>
              <w:t>ázvů příspěvků</w:t>
            </w:r>
          </w:p>
          <w:p w:rsidR="00890134" w:rsidRPr="00E11363" w:rsidRDefault="000044B2" w:rsidP="000044B2">
            <w:r>
              <w:t>Česky + Anglicky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90134" w:rsidRPr="00E11363" w:rsidRDefault="00890134" w:rsidP="000044B2"/>
        </w:tc>
        <w:tc>
          <w:tcPr>
            <w:tcW w:w="4032" w:type="dxa"/>
            <w:tcBorders>
              <w:bottom w:val="single" w:sz="4" w:space="0" w:color="auto"/>
            </w:tcBorders>
          </w:tcPr>
          <w:p w:rsidR="00890134" w:rsidRPr="00E11363" w:rsidRDefault="00890134" w:rsidP="000044B2">
            <w:r w:rsidRPr="00E11363">
              <w:t xml:space="preserve">Velikost písma 13 tučně, </w:t>
            </w:r>
            <w:r>
              <w:t>mezera před 0b)</w:t>
            </w:r>
          </w:p>
        </w:tc>
      </w:tr>
      <w:tr w:rsidR="00890134" w:rsidRPr="00E11363" w:rsidTr="00DD46AA"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</w:tcPr>
          <w:p w:rsidR="00890134" w:rsidRPr="00E11363" w:rsidRDefault="00890134" w:rsidP="006B244C">
            <w:pPr>
              <w:pStyle w:val="Nadpis1"/>
            </w:pPr>
            <w:r w:rsidRPr="00E11363">
              <w:t xml:space="preserve">Zarovnání </w:t>
            </w:r>
            <w:r w:rsidR="000F6C9F">
              <w:rPr>
                <w:i/>
                <w:iCs/>
              </w:rPr>
              <w:t xml:space="preserve">autorů a </w:t>
            </w:r>
            <w:r w:rsidRPr="00E11363">
              <w:rPr>
                <w:i/>
                <w:iCs/>
              </w:rPr>
              <w:t>adres</w:t>
            </w:r>
            <w:r w:rsidRPr="00E11363">
              <w:t xml:space="preserve">,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890134" w:rsidRPr="00E11363" w:rsidRDefault="00890134" w:rsidP="006B244C"/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</w:tcPr>
          <w:p w:rsidR="00890134" w:rsidRPr="00E11363" w:rsidRDefault="00890134" w:rsidP="006219DF">
            <w:r w:rsidRPr="00E11363">
              <w:t>Velikost písma 1</w:t>
            </w:r>
            <w:r w:rsidR="006219DF">
              <w:t>1</w:t>
            </w:r>
            <w:r w:rsidRPr="00E11363">
              <w:t xml:space="preserve"> kurzíva, řádkování 1</w:t>
            </w:r>
          </w:p>
        </w:tc>
      </w:tr>
      <w:tr w:rsidR="00890134" w:rsidRPr="00E11363" w:rsidTr="00890134"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</w:tcPr>
          <w:p w:rsidR="00890134" w:rsidRPr="00E11363" w:rsidRDefault="00890134" w:rsidP="006B244C">
            <w:r w:rsidRPr="00E11363">
              <w:t xml:space="preserve">Zarovnání textu, </w:t>
            </w:r>
          </w:p>
          <w:p w:rsidR="00890134" w:rsidRDefault="00890134" w:rsidP="006B244C">
            <w:pPr>
              <w:rPr>
                <w:b/>
                <w:bCs/>
              </w:rPr>
            </w:pPr>
            <w:r w:rsidRPr="00E11363">
              <w:rPr>
                <w:b/>
                <w:bCs/>
              </w:rPr>
              <w:t>nadpis kapitol</w:t>
            </w:r>
          </w:p>
          <w:p w:rsidR="000044B2" w:rsidRPr="000044B2" w:rsidRDefault="000044B2" w:rsidP="006B244C">
            <w:pPr>
              <w:rPr>
                <w:i/>
              </w:rPr>
            </w:pPr>
            <w:r w:rsidRPr="000044B2">
              <w:rPr>
                <w:bCs/>
                <w:i/>
              </w:rPr>
              <w:t>nadpis podkapitol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890134" w:rsidRPr="00E11363" w:rsidRDefault="00890134" w:rsidP="006B244C"/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</w:tcPr>
          <w:p w:rsidR="00890134" w:rsidRPr="00E11363" w:rsidRDefault="00890134" w:rsidP="006B244C">
            <w:r w:rsidRPr="00E11363">
              <w:t>Velikost písma 1</w:t>
            </w:r>
            <w:r w:rsidR="006219DF">
              <w:t>1</w:t>
            </w:r>
          </w:p>
          <w:p w:rsidR="00890134" w:rsidRDefault="000044B2" w:rsidP="006219DF">
            <w:r>
              <w:t>V</w:t>
            </w:r>
            <w:r w:rsidR="00890134" w:rsidRPr="00E11363">
              <w:t>elikost písma 1</w:t>
            </w:r>
            <w:r w:rsidR="006219DF">
              <w:t>1</w:t>
            </w:r>
            <w:r w:rsidR="00890134" w:rsidRPr="00E11363">
              <w:t xml:space="preserve"> tučně</w:t>
            </w:r>
          </w:p>
          <w:p w:rsidR="000044B2" w:rsidRPr="00E11363" w:rsidRDefault="000044B2" w:rsidP="006219DF">
            <w:r>
              <w:t>V</w:t>
            </w:r>
            <w:r w:rsidRPr="00E11363">
              <w:t>elikost písma 1</w:t>
            </w:r>
            <w:r>
              <w:t>1 kurzívou</w:t>
            </w:r>
          </w:p>
        </w:tc>
      </w:tr>
      <w:tr w:rsidR="00890134" w:rsidRPr="00E11363" w:rsidTr="00DD46AA">
        <w:tc>
          <w:tcPr>
            <w:tcW w:w="3650" w:type="dxa"/>
            <w:tcBorders>
              <w:top w:val="single" w:sz="4" w:space="0" w:color="auto"/>
            </w:tcBorders>
          </w:tcPr>
          <w:p w:rsidR="00890134" w:rsidRPr="00E11363" w:rsidRDefault="00890134" w:rsidP="006B244C">
            <w:pPr>
              <w:pStyle w:val="Nadpis1"/>
            </w:pPr>
            <w:proofErr w:type="spellStart"/>
            <w:r w:rsidRPr="00E11363">
              <w:t>Summary</w:t>
            </w:r>
            <w:proofErr w:type="spellEnd"/>
            <w:r w:rsidRPr="00E11363">
              <w:t xml:space="preserve">, </w:t>
            </w:r>
            <w:proofErr w:type="spellStart"/>
            <w:r w:rsidRPr="00E11363">
              <w:t>Key</w:t>
            </w:r>
            <w:proofErr w:type="spellEnd"/>
            <w:r w:rsidRPr="00E11363">
              <w:t xml:space="preserve"> </w:t>
            </w:r>
            <w:proofErr w:type="spellStart"/>
            <w:r w:rsidRPr="00E11363">
              <w:t>words</w:t>
            </w:r>
            <w:proofErr w:type="spellEnd"/>
            <w:r>
              <w:t>, Obsah</w:t>
            </w:r>
          </w:p>
          <w:p w:rsidR="00890134" w:rsidRPr="00E11363" w:rsidRDefault="00890134" w:rsidP="006B244C"/>
        </w:tc>
        <w:tc>
          <w:tcPr>
            <w:tcW w:w="1620" w:type="dxa"/>
            <w:tcBorders>
              <w:top w:val="single" w:sz="4" w:space="0" w:color="auto"/>
            </w:tcBorders>
          </w:tcPr>
          <w:p w:rsidR="00890134" w:rsidRPr="00E11363" w:rsidRDefault="00890134" w:rsidP="006B244C"/>
        </w:tc>
        <w:tc>
          <w:tcPr>
            <w:tcW w:w="4032" w:type="dxa"/>
            <w:tcBorders>
              <w:top w:val="single" w:sz="4" w:space="0" w:color="auto"/>
            </w:tcBorders>
          </w:tcPr>
          <w:p w:rsidR="00890134" w:rsidRPr="00E11363" w:rsidRDefault="006219DF" w:rsidP="006219DF">
            <w:pPr>
              <w:ind w:right="567"/>
            </w:pPr>
            <w:r>
              <w:t>Vel.</w:t>
            </w:r>
            <w:r w:rsidR="00890134" w:rsidRPr="00E11363">
              <w:t xml:space="preserve"> písma 1</w:t>
            </w:r>
            <w:r>
              <w:t>1</w:t>
            </w:r>
            <w:r w:rsidR="00890134" w:rsidRPr="00E11363">
              <w:t xml:space="preserve">, </w:t>
            </w:r>
            <w:r w:rsidR="00890134">
              <w:t xml:space="preserve">mezery 6 b </w:t>
            </w:r>
            <w:r>
              <w:t>p</w:t>
            </w:r>
            <w:r w:rsidR="00890134">
              <w:t>řed</w:t>
            </w:r>
          </w:p>
          <w:p w:rsidR="00890134" w:rsidRPr="00E11363" w:rsidRDefault="00890134" w:rsidP="006219DF">
            <w:pPr>
              <w:ind w:right="567"/>
            </w:pPr>
            <w:proofErr w:type="spellStart"/>
            <w:r w:rsidRPr="00E11363">
              <w:t>summary</w:t>
            </w:r>
            <w:proofErr w:type="spellEnd"/>
            <w:r w:rsidRPr="00E11363">
              <w:t xml:space="preserve"> zarovnat </w:t>
            </w:r>
            <w:r w:rsidR="006219DF">
              <w:t>na střed</w:t>
            </w:r>
          </w:p>
        </w:tc>
      </w:tr>
      <w:tr w:rsidR="00890134" w:rsidRPr="00E11363" w:rsidTr="00890134">
        <w:tc>
          <w:tcPr>
            <w:tcW w:w="3650" w:type="dxa"/>
            <w:tcBorders>
              <w:top w:val="single" w:sz="4" w:space="0" w:color="auto"/>
            </w:tcBorders>
          </w:tcPr>
          <w:p w:rsidR="00890134" w:rsidRPr="00051EB7" w:rsidRDefault="00890134" w:rsidP="000044B2">
            <w:r>
              <w:t xml:space="preserve">Literatura </w:t>
            </w:r>
            <w:r w:rsidR="000044B2">
              <w:t>(odkazy na literaturu v textu)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90134" w:rsidRPr="00E11363" w:rsidRDefault="00890134" w:rsidP="006B244C"/>
        </w:tc>
        <w:tc>
          <w:tcPr>
            <w:tcW w:w="4032" w:type="dxa"/>
            <w:tcBorders>
              <w:top w:val="single" w:sz="4" w:space="0" w:color="auto"/>
            </w:tcBorders>
          </w:tcPr>
          <w:p w:rsidR="00890134" w:rsidRDefault="00890134" w:rsidP="000044B2">
            <w:pPr>
              <w:ind w:right="567"/>
            </w:pPr>
            <w:r>
              <w:t>Řádkování 1, mezery 6 před</w:t>
            </w:r>
          </w:p>
          <w:p w:rsidR="000044B2" w:rsidRPr="00E11363" w:rsidRDefault="000044B2" w:rsidP="000044B2">
            <w:pPr>
              <w:ind w:right="567"/>
            </w:pPr>
            <w:r>
              <w:t>Použít ostré závorky [ ] – i v textu</w:t>
            </w:r>
          </w:p>
        </w:tc>
      </w:tr>
      <w:tr w:rsidR="00890134" w:rsidRPr="00E11363" w:rsidTr="00DD46AA"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</w:tcPr>
          <w:p w:rsidR="00890134" w:rsidRPr="00E11363" w:rsidRDefault="00890134" w:rsidP="006B244C">
            <w:r w:rsidRPr="00E11363">
              <w:t>Popis Tabulek:</w:t>
            </w:r>
          </w:p>
          <w:p w:rsidR="00890134" w:rsidRPr="00E11363" w:rsidRDefault="00890134" w:rsidP="006B244C"/>
          <w:p w:rsidR="00890134" w:rsidRPr="00E11363" w:rsidRDefault="00890134" w:rsidP="006B244C">
            <w:pPr>
              <w:pStyle w:val="Nadpis1"/>
            </w:pPr>
            <w:r w:rsidRPr="00E11363">
              <w:t>Popis Obrázků: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890134" w:rsidRPr="00E11363" w:rsidRDefault="00890134" w:rsidP="000044B2"/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</w:tcPr>
          <w:p w:rsidR="00890134" w:rsidRPr="00E11363" w:rsidRDefault="00890134" w:rsidP="006B244C">
            <w:r w:rsidRPr="00E11363">
              <w:t>Viz vzor</w:t>
            </w:r>
          </w:p>
          <w:p w:rsidR="00890134" w:rsidRPr="00E11363" w:rsidRDefault="00890134" w:rsidP="006B244C">
            <w:r w:rsidRPr="00E11363">
              <w:t>Tabulka 1., řádk.</w:t>
            </w:r>
            <w:r>
              <w:t>1, 5</w:t>
            </w:r>
            <w:r w:rsidRPr="00E11363">
              <w:t xml:space="preserve"> bez mezer </w:t>
            </w:r>
            <w:r>
              <w:t>0</w:t>
            </w:r>
          </w:p>
          <w:p w:rsidR="00890134" w:rsidRPr="00E11363" w:rsidRDefault="00890134" w:rsidP="006B244C">
            <w:r w:rsidRPr="00E11363">
              <w:t>Viz vzor</w:t>
            </w:r>
          </w:p>
          <w:p w:rsidR="00890134" w:rsidRPr="00E11363" w:rsidRDefault="00890134" w:rsidP="00051EB7">
            <w:pPr>
              <w:ind w:right="567"/>
              <w:jc w:val="both"/>
            </w:pPr>
            <w:r w:rsidRPr="00E11363">
              <w:t>Obrázek 1.</w:t>
            </w:r>
          </w:p>
        </w:tc>
      </w:tr>
      <w:tr w:rsidR="006219DF" w:rsidRPr="00E11363" w:rsidTr="006219DF">
        <w:trPr>
          <w:trHeight w:val="70"/>
        </w:trPr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</w:tcPr>
          <w:p w:rsidR="006219DF" w:rsidRPr="00E11363" w:rsidRDefault="000044B2" w:rsidP="006B244C">
            <w:r>
              <w:t xml:space="preserve">Pro rozsah </w:t>
            </w:r>
            <w:r w:rsidR="00014284">
              <w:t>„od do“ nebo „až“ používat dlouhou pomlčku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219DF" w:rsidRPr="00E11363" w:rsidRDefault="006219DF" w:rsidP="006B244C"/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</w:tcPr>
          <w:p w:rsidR="006219DF" w:rsidRPr="00E11363" w:rsidRDefault="00014284" w:rsidP="00014284">
            <w:pPr>
              <w:pStyle w:val="Odstavecseseznamem"/>
              <w:numPr>
                <w:ilvl w:val="0"/>
                <w:numId w:val="9"/>
              </w:numPr>
            </w:pPr>
            <w:r>
              <w:t>(kl. zkratka Alt+0150) bez mezer: „100–150 cm“</w:t>
            </w:r>
          </w:p>
        </w:tc>
      </w:tr>
    </w:tbl>
    <w:p w:rsidR="00E11363" w:rsidRPr="00E11363" w:rsidRDefault="00E11363" w:rsidP="00E11363">
      <w:pPr>
        <w:pStyle w:val="Zhlav"/>
        <w:tabs>
          <w:tab w:val="clear" w:pos="4536"/>
          <w:tab w:val="clear" w:pos="9072"/>
        </w:tabs>
      </w:pPr>
    </w:p>
    <w:p w:rsidR="00674DDE" w:rsidRDefault="00E11363" w:rsidP="00E11363">
      <w:pPr>
        <w:numPr>
          <w:ilvl w:val="0"/>
          <w:numId w:val="2"/>
        </w:numPr>
        <w:jc w:val="both"/>
      </w:pPr>
      <w:r w:rsidRPr="00E11363">
        <w:t xml:space="preserve">Příspěvky </w:t>
      </w:r>
      <w:r w:rsidR="00487A6B">
        <w:t xml:space="preserve">pro sborník </w:t>
      </w:r>
      <w:r w:rsidR="00674DDE">
        <w:t>lze</w:t>
      </w:r>
      <w:r w:rsidRPr="00E11363">
        <w:t xml:space="preserve"> odevz</w:t>
      </w:r>
      <w:r w:rsidR="00890134">
        <w:t xml:space="preserve">dat v jazyce českém, slovenském </w:t>
      </w:r>
      <w:r w:rsidR="002C08C3">
        <w:t xml:space="preserve">jazyce, přičemž preferujeme jazyk </w:t>
      </w:r>
      <w:r w:rsidR="00890134">
        <w:t>anglick</w:t>
      </w:r>
      <w:r w:rsidR="002C08C3">
        <w:t xml:space="preserve">ý vzhledem k tomu, že budeme usilovat o zapsání </w:t>
      </w:r>
      <w:r w:rsidR="000F6C9F">
        <w:t>sborníků</w:t>
      </w:r>
      <w:r w:rsidR="002C08C3">
        <w:t xml:space="preserve"> do </w:t>
      </w:r>
      <w:r w:rsidR="000F6C9F">
        <w:t xml:space="preserve">Web </w:t>
      </w:r>
      <w:proofErr w:type="spellStart"/>
      <w:r w:rsidR="000F6C9F">
        <w:t>of</w:t>
      </w:r>
      <w:proofErr w:type="spellEnd"/>
      <w:r w:rsidR="000F6C9F">
        <w:t xml:space="preserve"> Science (v minulých letech přijat)</w:t>
      </w:r>
      <w:r w:rsidR="002C08C3">
        <w:t>.</w:t>
      </w:r>
      <w:r w:rsidRPr="00E11363">
        <w:t xml:space="preserve"> Příspěvek začíná názvem, anglickým názvem, následují jména autorů, adresy, </w:t>
      </w:r>
      <w:r w:rsidR="00890134">
        <w:t>dále pak</w:t>
      </w:r>
      <w:r w:rsidRPr="00E11363">
        <w:t xml:space="preserve"> </w:t>
      </w:r>
      <w:proofErr w:type="spellStart"/>
      <w:r w:rsidR="00890134">
        <w:t>summary</w:t>
      </w:r>
      <w:proofErr w:type="spellEnd"/>
      <w:r w:rsidR="00890134">
        <w:t xml:space="preserve"> </w:t>
      </w:r>
      <w:r w:rsidRPr="00E11363">
        <w:t xml:space="preserve">a klíčová slova </w:t>
      </w:r>
      <w:proofErr w:type="spellStart"/>
      <w:r w:rsidRPr="00E11363">
        <w:t>key</w:t>
      </w:r>
      <w:proofErr w:type="spellEnd"/>
      <w:r w:rsidRPr="00E11363">
        <w:t xml:space="preserve"> </w:t>
      </w:r>
      <w:proofErr w:type="spellStart"/>
      <w:r w:rsidRPr="00E11363">
        <w:t>words</w:t>
      </w:r>
      <w:proofErr w:type="spellEnd"/>
      <w:r w:rsidR="00890134">
        <w:t xml:space="preserve"> a text přednášky</w:t>
      </w:r>
      <w:r w:rsidRPr="00E11363">
        <w:t xml:space="preserve">. Ilustrace jsou číslované v pořadí dle citování v textu. </w:t>
      </w:r>
    </w:p>
    <w:p w:rsidR="00674DDE" w:rsidRDefault="00674DDE" w:rsidP="00E11363">
      <w:pPr>
        <w:numPr>
          <w:ilvl w:val="0"/>
          <w:numId w:val="2"/>
        </w:numPr>
        <w:jc w:val="both"/>
      </w:pPr>
      <w:r w:rsidRPr="00674DDE">
        <w:rPr>
          <w:b/>
        </w:rPr>
        <w:t>Příspěvky odesílejte na e-mail</w:t>
      </w:r>
      <w:r>
        <w:t xml:space="preserve"> </w:t>
      </w:r>
      <w:hyperlink r:id="rId7" w:history="1">
        <w:r w:rsidR="00487A6B" w:rsidRPr="00B639C2">
          <w:rPr>
            <w:rStyle w:val="Hypertextovodkaz"/>
          </w:rPr>
          <w:t>info@pigmentyapojiva.cz</w:t>
        </w:r>
      </w:hyperlink>
      <w:r w:rsidR="00890134">
        <w:t xml:space="preserve"> </w:t>
      </w:r>
      <w:hyperlink r:id="rId8" w:history="1"/>
      <w:r>
        <w:t xml:space="preserve"> </w:t>
      </w:r>
    </w:p>
    <w:p w:rsidR="00E11363" w:rsidRPr="00E11363" w:rsidRDefault="00E11363" w:rsidP="00E11363">
      <w:pPr>
        <w:numPr>
          <w:ilvl w:val="0"/>
          <w:numId w:val="2"/>
        </w:numPr>
        <w:jc w:val="both"/>
      </w:pPr>
      <w:r w:rsidRPr="00E11363">
        <w:t>Každý příspěvek by měl respektovat následující strukturu:</w:t>
      </w:r>
    </w:p>
    <w:p w:rsidR="00E11363" w:rsidRPr="00E11363" w:rsidRDefault="00E11363" w:rsidP="00E11363">
      <w:pPr>
        <w:numPr>
          <w:ilvl w:val="0"/>
          <w:numId w:val="1"/>
        </w:numPr>
        <w:rPr>
          <w:i/>
          <w:iCs/>
        </w:rPr>
      </w:pPr>
      <w:r w:rsidRPr="00E11363">
        <w:rPr>
          <w:i/>
          <w:iCs/>
        </w:rPr>
        <w:t>Úvod</w:t>
      </w:r>
    </w:p>
    <w:p w:rsidR="00E11363" w:rsidRPr="00E11363" w:rsidRDefault="00E11363" w:rsidP="00E11363">
      <w:pPr>
        <w:numPr>
          <w:ilvl w:val="0"/>
          <w:numId w:val="1"/>
        </w:numPr>
        <w:rPr>
          <w:i/>
          <w:iCs/>
        </w:rPr>
      </w:pPr>
      <w:r w:rsidRPr="00E11363">
        <w:rPr>
          <w:i/>
          <w:iCs/>
        </w:rPr>
        <w:t>Popis experimentálních metod</w:t>
      </w:r>
    </w:p>
    <w:p w:rsidR="00E11363" w:rsidRPr="00E11363" w:rsidRDefault="00E11363" w:rsidP="00E11363">
      <w:pPr>
        <w:numPr>
          <w:ilvl w:val="0"/>
          <w:numId w:val="1"/>
        </w:numPr>
        <w:rPr>
          <w:i/>
          <w:iCs/>
        </w:rPr>
      </w:pPr>
      <w:r w:rsidRPr="00E11363">
        <w:rPr>
          <w:i/>
          <w:iCs/>
        </w:rPr>
        <w:t>Výsledky a diskuze</w:t>
      </w:r>
    </w:p>
    <w:p w:rsidR="00E11363" w:rsidRPr="00E11363" w:rsidRDefault="00E11363" w:rsidP="00E11363">
      <w:pPr>
        <w:numPr>
          <w:ilvl w:val="0"/>
          <w:numId w:val="1"/>
        </w:numPr>
        <w:rPr>
          <w:i/>
          <w:iCs/>
        </w:rPr>
      </w:pPr>
      <w:r w:rsidRPr="00E11363">
        <w:rPr>
          <w:i/>
          <w:iCs/>
        </w:rPr>
        <w:t>Závěr a seznam citované literatury</w:t>
      </w:r>
    </w:p>
    <w:p w:rsidR="00E11363" w:rsidRPr="00E11363" w:rsidRDefault="00E11363" w:rsidP="00E11363">
      <w:pPr>
        <w:rPr>
          <w:i/>
          <w:iCs/>
        </w:rPr>
      </w:pPr>
    </w:p>
    <w:p w:rsidR="00E11363" w:rsidRPr="00E11363" w:rsidRDefault="00E11363" w:rsidP="00E11363">
      <w:pPr>
        <w:numPr>
          <w:ilvl w:val="0"/>
          <w:numId w:val="4"/>
        </w:numPr>
      </w:pPr>
      <w:r w:rsidRPr="00E11363">
        <w:t>Příspěvky neexperimentálního charakteru mohou mít strukturu členění jinou, avšak formát příspěvků zůstává.</w:t>
      </w:r>
    </w:p>
    <w:p w:rsidR="00E11363" w:rsidRDefault="00E11363" w:rsidP="00E11363">
      <w:pPr>
        <w:numPr>
          <w:ilvl w:val="0"/>
          <w:numId w:val="4"/>
        </w:numPr>
      </w:pPr>
      <w:r w:rsidRPr="00E11363">
        <w:t>Nebudou akceptovány příspěvky k otištění ve sborníku zaslané ve formátu Microsoft PowerPoint</w:t>
      </w:r>
    </w:p>
    <w:p w:rsidR="00890134" w:rsidRPr="00487A6B" w:rsidRDefault="00890134" w:rsidP="00674DDE">
      <w:pPr>
        <w:spacing w:line="360" w:lineRule="auto"/>
        <w:jc w:val="center"/>
        <w:rPr>
          <w:i/>
          <w:iCs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90134" w:rsidRPr="00890134" w:rsidRDefault="00890134" w:rsidP="00890134">
      <w:pPr>
        <w:pStyle w:val="Nadpis2"/>
      </w:pPr>
      <w:r w:rsidRPr="00890134">
        <w:t xml:space="preserve">Termín dodání: </w:t>
      </w:r>
      <w:r w:rsidR="00B03025">
        <w:rPr>
          <w:color w:val="FF0000"/>
        </w:rPr>
        <w:t>30</w:t>
      </w:r>
      <w:r w:rsidRPr="006219DF">
        <w:rPr>
          <w:color w:val="FF0000"/>
        </w:rPr>
        <w:t xml:space="preserve">. </w:t>
      </w:r>
      <w:r w:rsidR="00487A6B">
        <w:rPr>
          <w:color w:val="FF0000"/>
        </w:rPr>
        <w:t>září</w:t>
      </w:r>
      <w:r w:rsidRPr="006219DF">
        <w:rPr>
          <w:color w:val="FF0000"/>
        </w:rPr>
        <w:t xml:space="preserve"> 20</w:t>
      </w:r>
      <w:r w:rsidR="00B03025">
        <w:rPr>
          <w:color w:val="FF0000"/>
        </w:rPr>
        <w:t>20</w:t>
      </w:r>
    </w:p>
    <w:p w:rsidR="00890134" w:rsidRPr="00487A6B" w:rsidRDefault="00890134" w:rsidP="00674DDE">
      <w:pPr>
        <w:spacing w:line="360" w:lineRule="auto"/>
        <w:jc w:val="center"/>
        <w:rPr>
          <w:i/>
          <w:iCs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90134" w:rsidRPr="00487A6B" w:rsidRDefault="00890134" w:rsidP="00674DDE">
      <w:pPr>
        <w:spacing w:line="360" w:lineRule="auto"/>
        <w:jc w:val="center"/>
        <w:rPr>
          <w:i/>
          <w:iCs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219DF" w:rsidRPr="00487A6B" w:rsidRDefault="006219DF" w:rsidP="00674DDE">
      <w:pPr>
        <w:spacing w:line="360" w:lineRule="auto"/>
        <w:jc w:val="center"/>
        <w:rPr>
          <w:i/>
          <w:iCs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219DF" w:rsidRPr="00487A6B" w:rsidRDefault="006219DF" w:rsidP="00674DDE">
      <w:pPr>
        <w:spacing w:line="360" w:lineRule="auto"/>
        <w:jc w:val="center"/>
        <w:rPr>
          <w:i/>
          <w:iCs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219DF" w:rsidRPr="00487A6B" w:rsidRDefault="006219DF" w:rsidP="00674DDE">
      <w:pPr>
        <w:spacing w:line="360" w:lineRule="auto"/>
        <w:jc w:val="center"/>
        <w:rPr>
          <w:i/>
          <w:iCs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219DF" w:rsidRPr="00487A6B" w:rsidRDefault="006219DF" w:rsidP="00674DDE">
      <w:pPr>
        <w:spacing w:line="360" w:lineRule="auto"/>
        <w:jc w:val="center"/>
        <w:rPr>
          <w:i/>
          <w:iCs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90134" w:rsidRPr="00487A6B" w:rsidRDefault="00890134" w:rsidP="00674DDE">
      <w:pPr>
        <w:spacing w:line="360" w:lineRule="auto"/>
        <w:jc w:val="center"/>
        <w:rPr>
          <w:i/>
          <w:iCs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90134" w:rsidRPr="00487A6B" w:rsidRDefault="00890134" w:rsidP="00674DDE">
      <w:pPr>
        <w:spacing w:line="360" w:lineRule="auto"/>
        <w:jc w:val="center"/>
        <w:rPr>
          <w:i/>
          <w:iCs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90134" w:rsidRPr="00487A6B" w:rsidRDefault="00890134" w:rsidP="00674DDE">
      <w:pPr>
        <w:spacing w:line="360" w:lineRule="auto"/>
        <w:jc w:val="center"/>
        <w:rPr>
          <w:i/>
          <w:iCs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74DDE" w:rsidRPr="00487A6B" w:rsidRDefault="00890134" w:rsidP="00674DDE">
      <w:pPr>
        <w:spacing w:line="360" w:lineRule="auto"/>
        <w:jc w:val="center"/>
        <w:rPr>
          <w:i/>
          <w:iCs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87A6B">
        <w:rPr>
          <w:i/>
          <w:iCs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PŘÍKLAD:</w:t>
      </w:r>
      <w:r w:rsidR="00674DDE" w:rsidRPr="00487A6B">
        <w:rPr>
          <w:i/>
          <w:iCs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E11363" w:rsidRPr="00E11363" w:rsidRDefault="00487A6B" w:rsidP="00731705">
      <w:pPr>
        <w:pStyle w:val="Nadpis7"/>
        <w:spacing w:before="120" w:line="360" w:lineRule="auto"/>
        <w:jc w:val="center"/>
        <w:rPr>
          <w:caps/>
          <w:sz w:val="26"/>
          <w:szCs w:val="26"/>
        </w:rPr>
      </w:pPr>
      <w:r>
        <w:rPr>
          <w:sz w:val="26"/>
          <w:szCs w:val="26"/>
        </w:rPr>
        <w:t>P</w:t>
      </w:r>
      <w:r w:rsidRPr="00E11363">
        <w:rPr>
          <w:sz w:val="26"/>
          <w:szCs w:val="26"/>
        </w:rPr>
        <w:t>ovrchově upravená slída pro antikorozní ná</w:t>
      </w:r>
      <w:r>
        <w:rPr>
          <w:sz w:val="26"/>
          <w:szCs w:val="26"/>
        </w:rPr>
        <w:t>těry</w:t>
      </w:r>
    </w:p>
    <w:p w:rsidR="00E11363" w:rsidRPr="00E11363" w:rsidRDefault="00487A6B" w:rsidP="00731705">
      <w:pPr>
        <w:pStyle w:val="Nadpis7"/>
        <w:spacing w:before="120" w:line="360" w:lineRule="auto"/>
        <w:jc w:val="center"/>
        <w:rPr>
          <w:caps/>
          <w:sz w:val="26"/>
          <w:szCs w:val="26"/>
        </w:rPr>
      </w:pPr>
      <w:proofErr w:type="spellStart"/>
      <w:r w:rsidRPr="00E11363">
        <w:rPr>
          <w:sz w:val="26"/>
          <w:szCs w:val="26"/>
        </w:rPr>
        <w:t>Surface-treated</w:t>
      </w:r>
      <w:proofErr w:type="spellEnd"/>
      <w:r w:rsidRPr="00E11363">
        <w:rPr>
          <w:sz w:val="26"/>
          <w:szCs w:val="26"/>
        </w:rPr>
        <w:t xml:space="preserve"> </w:t>
      </w:r>
      <w:proofErr w:type="spellStart"/>
      <w:r w:rsidRPr="00E11363">
        <w:rPr>
          <w:sz w:val="26"/>
          <w:szCs w:val="26"/>
        </w:rPr>
        <w:t>mica</w:t>
      </w:r>
      <w:proofErr w:type="spellEnd"/>
      <w:r w:rsidRPr="00E11363">
        <w:rPr>
          <w:sz w:val="26"/>
          <w:szCs w:val="26"/>
        </w:rPr>
        <w:t xml:space="preserve"> </w:t>
      </w:r>
      <w:proofErr w:type="spellStart"/>
      <w:r w:rsidRPr="00E11363">
        <w:rPr>
          <w:sz w:val="26"/>
          <w:szCs w:val="26"/>
        </w:rPr>
        <w:t>based</w:t>
      </w:r>
      <w:proofErr w:type="spellEnd"/>
      <w:r w:rsidRPr="00E11363">
        <w:rPr>
          <w:sz w:val="26"/>
          <w:szCs w:val="26"/>
        </w:rPr>
        <w:t xml:space="preserve"> on </w:t>
      </w:r>
      <w:proofErr w:type="spellStart"/>
      <w:r w:rsidRPr="00E11363">
        <w:rPr>
          <w:sz w:val="26"/>
          <w:szCs w:val="26"/>
        </w:rPr>
        <w:t>muscovite</w:t>
      </w:r>
      <w:proofErr w:type="spellEnd"/>
      <w:r w:rsidRPr="00E11363">
        <w:rPr>
          <w:sz w:val="26"/>
          <w:szCs w:val="26"/>
        </w:rPr>
        <w:t xml:space="preserve"> </w:t>
      </w:r>
      <w:proofErr w:type="spellStart"/>
      <w:r w:rsidRPr="00E11363">
        <w:rPr>
          <w:sz w:val="26"/>
          <w:szCs w:val="26"/>
        </w:rPr>
        <w:t>for</w:t>
      </w:r>
      <w:proofErr w:type="spellEnd"/>
      <w:r w:rsidRPr="00E11363">
        <w:rPr>
          <w:sz w:val="26"/>
          <w:szCs w:val="26"/>
        </w:rPr>
        <w:t xml:space="preserve"> </w:t>
      </w:r>
      <w:proofErr w:type="spellStart"/>
      <w:r w:rsidRPr="00E11363">
        <w:rPr>
          <w:sz w:val="26"/>
          <w:szCs w:val="26"/>
        </w:rPr>
        <w:t>anticorrosive</w:t>
      </w:r>
      <w:proofErr w:type="spellEnd"/>
      <w:r w:rsidRPr="00E11363">
        <w:rPr>
          <w:sz w:val="26"/>
          <w:szCs w:val="26"/>
        </w:rPr>
        <w:t xml:space="preserve"> </w:t>
      </w:r>
      <w:proofErr w:type="spellStart"/>
      <w:r w:rsidRPr="00E11363">
        <w:rPr>
          <w:sz w:val="26"/>
          <w:szCs w:val="26"/>
        </w:rPr>
        <w:t>coatings</w:t>
      </w:r>
      <w:proofErr w:type="spellEnd"/>
    </w:p>
    <w:p w:rsidR="00E11363" w:rsidRPr="00E11363" w:rsidRDefault="00E11363" w:rsidP="00E11363">
      <w:pPr>
        <w:pStyle w:val="Zhlav"/>
        <w:tabs>
          <w:tab w:val="clear" w:pos="4536"/>
          <w:tab w:val="clear" w:pos="9072"/>
        </w:tabs>
        <w:spacing w:line="360" w:lineRule="auto"/>
        <w:jc w:val="both"/>
      </w:pPr>
    </w:p>
    <w:p w:rsidR="00E11363" w:rsidRPr="00262F20" w:rsidRDefault="00E11363" w:rsidP="00E11363">
      <w:pPr>
        <w:pStyle w:val="Nadpis1"/>
        <w:spacing w:line="360" w:lineRule="auto"/>
        <w:rPr>
          <w:b w:val="0"/>
          <w:bCs w:val="0"/>
          <w:i/>
          <w:sz w:val="22"/>
          <w:szCs w:val="22"/>
        </w:rPr>
      </w:pPr>
      <w:proofErr w:type="spellStart"/>
      <w:r w:rsidRPr="00262F20">
        <w:rPr>
          <w:b w:val="0"/>
          <w:bCs w:val="0"/>
          <w:i/>
          <w:sz w:val="22"/>
          <w:szCs w:val="22"/>
        </w:rPr>
        <w:t>Tamchyno</w:t>
      </w:r>
      <w:r w:rsidR="0080294F" w:rsidRPr="00262F20">
        <w:rPr>
          <w:b w:val="0"/>
          <w:bCs w:val="0"/>
          <w:i/>
          <w:sz w:val="22"/>
          <w:szCs w:val="22"/>
        </w:rPr>
        <w:t>á</w:t>
      </w:r>
      <w:proofErr w:type="spellEnd"/>
      <w:r w:rsidR="000044B2">
        <w:rPr>
          <w:b w:val="0"/>
          <w:bCs w:val="0"/>
          <w:i/>
          <w:sz w:val="22"/>
          <w:szCs w:val="22"/>
        </w:rPr>
        <w:t xml:space="preserve"> P.</w:t>
      </w:r>
      <w:r w:rsidR="00534034" w:rsidRPr="00262F20">
        <w:rPr>
          <w:b w:val="0"/>
          <w:bCs w:val="0"/>
          <w:i/>
          <w:sz w:val="22"/>
          <w:szCs w:val="22"/>
          <w:vertAlign w:val="superscript"/>
        </w:rPr>
        <w:t>1</w:t>
      </w:r>
      <w:r w:rsidRPr="00262F20">
        <w:rPr>
          <w:b w:val="0"/>
          <w:bCs w:val="0"/>
          <w:i/>
          <w:sz w:val="22"/>
          <w:szCs w:val="22"/>
        </w:rPr>
        <w:t>, Šu</w:t>
      </w:r>
      <w:r w:rsidR="00534034" w:rsidRPr="00262F20">
        <w:rPr>
          <w:b w:val="0"/>
          <w:bCs w:val="0"/>
          <w:i/>
          <w:sz w:val="22"/>
          <w:szCs w:val="22"/>
        </w:rPr>
        <w:t>br</w:t>
      </w:r>
      <w:r w:rsidR="000044B2">
        <w:rPr>
          <w:b w:val="0"/>
          <w:bCs w:val="0"/>
          <w:i/>
          <w:sz w:val="22"/>
          <w:szCs w:val="22"/>
        </w:rPr>
        <w:t>t J.</w:t>
      </w:r>
      <w:r w:rsidR="000044B2" w:rsidRPr="00262F20">
        <w:rPr>
          <w:b w:val="0"/>
          <w:bCs w:val="0"/>
          <w:i/>
          <w:sz w:val="22"/>
          <w:szCs w:val="22"/>
          <w:vertAlign w:val="superscript"/>
        </w:rPr>
        <w:t xml:space="preserve"> </w:t>
      </w:r>
      <w:r w:rsidR="00534034" w:rsidRPr="00262F20">
        <w:rPr>
          <w:b w:val="0"/>
          <w:bCs w:val="0"/>
          <w:i/>
          <w:sz w:val="22"/>
          <w:szCs w:val="22"/>
          <w:vertAlign w:val="superscript"/>
        </w:rPr>
        <w:t>2</w:t>
      </w:r>
      <w:r w:rsidRPr="00262F20">
        <w:rPr>
          <w:b w:val="0"/>
          <w:bCs w:val="0"/>
          <w:i/>
          <w:sz w:val="22"/>
          <w:szCs w:val="22"/>
        </w:rPr>
        <w:t xml:space="preserve">   </w:t>
      </w:r>
    </w:p>
    <w:p w:rsidR="00E11363" w:rsidRPr="00262F20" w:rsidRDefault="00414219" w:rsidP="00E11363">
      <w:pPr>
        <w:pStyle w:val="Nadpis1"/>
        <w:spacing w:line="360" w:lineRule="auto"/>
        <w:rPr>
          <w:b w:val="0"/>
          <w:bCs w:val="0"/>
          <w:i/>
          <w:sz w:val="22"/>
          <w:szCs w:val="22"/>
        </w:rPr>
      </w:pPr>
      <w:r w:rsidRPr="000044B2">
        <w:rPr>
          <w:b w:val="0"/>
          <w:bCs w:val="0"/>
          <w:i/>
          <w:sz w:val="22"/>
          <w:szCs w:val="22"/>
        </w:rPr>
        <w:t>1</w:t>
      </w:r>
      <w:r w:rsidR="000044B2">
        <w:rPr>
          <w:b w:val="0"/>
          <w:bCs w:val="0"/>
          <w:i/>
          <w:sz w:val="22"/>
          <w:szCs w:val="22"/>
        </w:rPr>
        <w:t xml:space="preserve"> </w:t>
      </w:r>
      <w:r w:rsidR="00E11363" w:rsidRPr="00262F20">
        <w:rPr>
          <w:b w:val="0"/>
          <w:bCs w:val="0"/>
          <w:i/>
          <w:sz w:val="22"/>
          <w:szCs w:val="22"/>
        </w:rPr>
        <w:t>Ústav polymerních materiálů FCHT, Univerzita Pardubice</w:t>
      </w:r>
      <w:r w:rsidR="00674DDE" w:rsidRPr="00262F20">
        <w:rPr>
          <w:b w:val="0"/>
          <w:bCs w:val="0"/>
          <w:i/>
          <w:sz w:val="22"/>
          <w:szCs w:val="22"/>
        </w:rPr>
        <w:br/>
      </w:r>
      <w:r w:rsidRPr="000044B2">
        <w:rPr>
          <w:b w:val="0"/>
          <w:bCs w:val="0"/>
          <w:i/>
          <w:sz w:val="22"/>
          <w:szCs w:val="22"/>
        </w:rPr>
        <w:t>2</w:t>
      </w:r>
      <w:r w:rsidR="00E11363" w:rsidRPr="000044B2">
        <w:rPr>
          <w:b w:val="0"/>
          <w:bCs w:val="0"/>
          <w:i/>
          <w:sz w:val="22"/>
          <w:szCs w:val="22"/>
        </w:rPr>
        <w:t xml:space="preserve"> </w:t>
      </w:r>
      <w:proofErr w:type="spellStart"/>
      <w:r w:rsidR="00E11363" w:rsidRPr="00262F20">
        <w:rPr>
          <w:b w:val="0"/>
          <w:bCs w:val="0"/>
          <w:i/>
          <w:sz w:val="22"/>
          <w:szCs w:val="22"/>
        </w:rPr>
        <w:t>ÚAnCh</w:t>
      </w:r>
      <w:proofErr w:type="spellEnd"/>
      <w:r w:rsidR="00E11363" w:rsidRPr="00262F20">
        <w:rPr>
          <w:b w:val="0"/>
          <w:bCs w:val="0"/>
          <w:i/>
          <w:sz w:val="22"/>
          <w:szCs w:val="22"/>
        </w:rPr>
        <w:t xml:space="preserve"> AVČR  Řež </w:t>
      </w:r>
    </w:p>
    <w:p w:rsidR="00E11363" w:rsidRPr="00262F20" w:rsidRDefault="00E11363" w:rsidP="00E11363">
      <w:pPr>
        <w:pStyle w:val="Zkladntext"/>
        <w:rPr>
          <w:sz w:val="22"/>
          <w:szCs w:val="22"/>
        </w:rPr>
      </w:pPr>
    </w:p>
    <w:p w:rsidR="00E11363" w:rsidRPr="00262F20" w:rsidRDefault="00E11363" w:rsidP="00E11363">
      <w:pPr>
        <w:pStyle w:val="Zkladntext"/>
        <w:jc w:val="center"/>
        <w:rPr>
          <w:b/>
          <w:bCs/>
          <w:sz w:val="22"/>
          <w:szCs w:val="22"/>
        </w:rPr>
      </w:pPr>
      <w:proofErr w:type="spellStart"/>
      <w:r w:rsidRPr="00262F20">
        <w:rPr>
          <w:b/>
          <w:bCs/>
          <w:sz w:val="22"/>
          <w:szCs w:val="22"/>
        </w:rPr>
        <w:t>Summary</w:t>
      </w:r>
      <w:proofErr w:type="spellEnd"/>
    </w:p>
    <w:p w:rsidR="00E11363" w:rsidRPr="00262F20" w:rsidRDefault="00E11363" w:rsidP="000044B2">
      <w:pPr>
        <w:pStyle w:val="Zkladntext3"/>
        <w:spacing w:before="120"/>
        <w:ind w:left="567" w:right="567"/>
        <w:jc w:val="center"/>
        <w:rPr>
          <w:i w:val="0"/>
          <w:iCs w:val="0"/>
          <w:sz w:val="22"/>
          <w:szCs w:val="22"/>
        </w:rPr>
      </w:pPr>
      <w:proofErr w:type="spellStart"/>
      <w:r w:rsidRPr="00262F20">
        <w:rPr>
          <w:i w:val="0"/>
          <w:iCs w:val="0"/>
          <w:sz w:val="22"/>
          <w:szCs w:val="22"/>
        </w:rPr>
        <w:t>The</w:t>
      </w:r>
      <w:proofErr w:type="spellEnd"/>
      <w:r w:rsidRPr="00262F20">
        <w:rPr>
          <w:i w:val="0"/>
          <w:iCs w:val="0"/>
          <w:sz w:val="22"/>
          <w:szCs w:val="22"/>
        </w:rPr>
        <w:t xml:space="preserve"> </w:t>
      </w:r>
      <w:proofErr w:type="spellStart"/>
      <w:r w:rsidRPr="00262F20">
        <w:rPr>
          <w:i w:val="0"/>
          <w:iCs w:val="0"/>
          <w:sz w:val="22"/>
          <w:szCs w:val="22"/>
        </w:rPr>
        <w:t>paper</w:t>
      </w:r>
      <w:proofErr w:type="spellEnd"/>
      <w:r w:rsidRPr="00262F20">
        <w:rPr>
          <w:i w:val="0"/>
          <w:iCs w:val="0"/>
          <w:sz w:val="22"/>
          <w:szCs w:val="22"/>
        </w:rPr>
        <w:t xml:space="preserve"> </w:t>
      </w:r>
      <w:proofErr w:type="spellStart"/>
      <w:r w:rsidRPr="00262F20">
        <w:rPr>
          <w:i w:val="0"/>
          <w:iCs w:val="0"/>
          <w:sz w:val="22"/>
          <w:szCs w:val="22"/>
        </w:rPr>
        <w:t>deals</w:t>
      </w:r>
      <w:proofErr w:type="spellEnd"/>
      <w:r w:rsidRPr="00262F20">
        <w:rPr>
          <w:i w:val="0"/>
          <w:iCs w:val="0"/>
          <w:sz w:val="22"/>
          <w:szCs w:val="22"/>
        </w:rPr>
        <w:t xml:space="preserve"> </w:t>
      </w:r>
      <w:proofErr w:type="spellStart"/>
      <w:r w:rsidRPr="00262F20">
        <w:rPr>
          <w:i w:val="0"/>
          <w:iCs w:val="0"/>
          <w:sz w:val="22"/>
          <w:szCs w:val="22"/>
        </w:rPr>
        <w:t>with</w:t>
      </w:r>
      <w:proofErr w:type="spellEnd"/>
      <w:r w:rsidRPr="00262F20">
        <w:rPr>
          <w:i w:val="0"/>
          <w:iCs w:val="0"/>
          <w:sz w:val="22"/>
          <w:szCs w:val="22"/>
        </w:rPr>
        <w:t xml:space="preserve"> </w:t>
      </w:r>
      <w:proofErr w:type="spellStart"/>
      <w:r w:rsidRPr="00262F20">
        <w:rPr>
          <w:i w:val="0"/>
          <w:iCs w:val="0"/>
          <w:sz w:val="22"/>
          <w:szCs w:val="22"/>
        </w:rPr>
        <w:t>using</w:t>
      </w:r>
      <w:proofErr w:type="spellEnd"/>
      <w:r w:rsidRPr="00262F20">
        <w:rPr>
          <w:i w:val="0"/>
          <w:iCs w:val="0"/>
          <w:sz w:val="22"/>
          <w:szCs w:val="22"/>
        </w:rPr>
        <w:t xml:space="preserve"> </w:t>
      </w:r>
      <w:proofErr w:type="spellStart"/>
      <w:r w:rsidRPr="00262F20">
        <w:rPr>
          <w:i w:val="0"/>
          <w:iCs w:val="0"/>
          <w:sz w:val="22"/>
          <w:szCs w:val="22"/>
        </w:rPr>
        <w:t>lamellar</w:t>
      </w:r>
      <w:proofErr w:type="spellEnd"/>
      <w:r w:rsidRPr="00262F20">
        <w:rPr>
          <w:i w:val="0"/>
          <w:iCs w:val="0"/>
          <w:sz w:val="22"/>
          <w:szCs w:val="22"/>
        </w:rPr>
        <w:t xml:space="preserve"> </w:t>
      </w:r>
      <w:proofErr w:type="spellStart"/>
      <w:r w:rsidRPr="00262F20">
        <w:rPr>
          <w:i w:val="0"/>
          <w:iCs w:val="0"/>
          <w:sz w:val="22"/>
          <w:szCs w:val="22"/>
        </w:rPr>
        <w:t>pigments</w:t>
      </w:r>
      <w:proofErr w:type="spellEnd"/>
      <w:r w:rsidRPr="00262F20">
        <w:rPr>
          <w:i w:val="0"/>
          <w:iCs w:val="0"/>
          <w:sz w:val="22"/>
          <w:szCs w:val="22"/>
        </w:rPr>
        <w:t xml:space="preserve"> </w:t>
      </w:r>
      <w:proofErr w:type="spellStart"/>
      <w:r w:rsidRPr="00262F20">
        <w:rPr>
          <w:i w:val="0"/>
          <w:iCs w:val="0"/>
          <w:sz w:val="22"/>
          <w:szCs w:val="22"/>
        </w:rPr>
        <w:t>for</w:t>
      </w:r>
      <w:proofErr w:type="spellEnd"/>
      <w:r w:rsidRPr="00262F20">
        <w:rPr>
          <w:i w:val="0"/>
          <w:iCs w:val="0"/>
          <w:sz w:val="22"/>
          <w:szCs w:val="22"/>
        </w:rPr>
        <w:t xml:space="preserve"> </w:t>
      </w:r>
      <w:proofErr w:type="spellStart"/>
      <w:r w:rsidRPr="00262F20">
        <w:rPr>
          <w:i w:val="0"/>
          <w:iCs w:val="0"/>
          <w:sz w:val="22"/>
          <w:szCs w:val="22"/>
        </w:rPr>
        <w:t>anticorrosive</w:t>
      </w:r>
      <w:proofErr w:type="spellEnd"/>
      <w:r w:rsidRPr="00262F20">
        <w:rPr>
          <w:i w:val="0"/>
          <w:iCs w:val="0"/>
          <w:sz w:val="22"/>
          <w:szCs w:val="22"/>
        </w:rPr>
        <w:t xml:space="preserve"> </w:t>
      </w:r>
      <w:proofErr w:type="spellStart"/>
      <w:r w:rsidRPr="00262F20">
        <w:rPr>
          <w:i w:val="0"/>
          <w:iCs w:val="0"/>
          <w:sz w:val="22"/>
          <w:szCs w:val="22"/>
        </w:rPr>
        <w:t>barrier</w:t>
      </w:r>
      <w:proofErr w:type="spellEnd"/>
      <w:r w:rsidRPr="00262F20">
        <w:rPr>
          <w:i w:val="0"/>
          <w:iCs w:val="0"/>
          <w:sz w:val="22"/>
          <w:szCs w:val="22"/>
        </w:rPr>
        <w:t xml:space="preserve"> </w:t>
      </w:r>
      <w:proofErr w:type="spellStart"/>
      <w:r w:rsidRPr="00262F20">
        <w:rPr>
          <w:i w:val="0"/>
          <w:iCs w:val="0"/>
          <w:sz w:val="22"/>
          <w:szCs w:val="22"/>
        </w:rPr>
        <w:t>coatings</w:t>
      </w:r>
      <w:proofErr w:type="spellEnd"/>
      <w:r w:rsidRPr="00262F20">
        <w:rPr>
          <w:i w:val="0"/>
          <w:iCs w:val="0"/>
          <w:sz w:val="22"/>
          <w:szCs w:val="22"/>
        </w:rPr>
        <w:t xml:space="preserve">. By </w:t>
      </w:r>
      <w:proofErr w:type="spellStart"/>
      <w:r w:rsidRPr="00262F20">
        <w:rPr>
          <w:i w:val="0"/>
          <w:iCs w:val="0"/>
          <w:sz w:val="22"/>
          <w:szCs w:val="22"/>
        </w:rPr>
        <w:t>depositing</w:t>
      </w:r>
      <w:proofErr w:type="spellEnd"/>
      <w:r w:rsidRPr="00262F20">
        <w:rPr>
          <w:i w:val="0"/>
          <w:iCs w:val="0"/>
          <w:sz w:val="22"/>
          <w:szCs w:val="22"/>
        </w:rPr>
        <w:t xml:space="preserve"> a </w:t>
      </w:r>
      <w:proofErr w:type="spellStart"/>
      <w:r w:rsidRPr="00262F20">
        <w:rPr>
          <w:i w:val="0"/>
          <w:iCs w:val="0"/>
          <w:sz w:val="22"/>
          <w:szCs w:val="22"/>
        </w:rPr>
        <w:t>ferric</w:t>
      </w:r>
      <w:proofErr w:type="spellEnd"/>
      <w:r w:rsidRPr="00262F20">
        <w:rPr>
          <w:i w:val="0"/>
          <w:iCs w:val="0"/>
          <w:sz w:val="22"/>
          <w:szCs w:val="22"/>
        </w:rPr>
        <w:t xml:space="preserve"> oxide </w:t>
      </w:r>
      <w:proofErr w:type="spellStart"/>
      <w:r w:rsidRPr="00262F20">
        <w:rPr>
          <w:i w:val="0"/>
          <w:iCs w:val="0"/>
          <w:sz w:val="22"/>
          <w:szCs w:val="22"/>
        </w:rPr>
        <w:t>layer</w:t>
      </w:r>
      <w:proofErr w:type="spellEnd"/>
      <w:r w:rsidRPr="00262F20">
        <w:rPr>
          <w:i w:val="0"/>
          <w:iCs w:val="0"/>
          <w:sz w:val="22"/>
          <w:szCs w:val="22"/>
        </w:rPr>
        <w:t xml:space="preserve"> on a </w:t>
      </w:r>
      <w:proofErr w:type="spellStart"/>
      <w:r w:rsidRPr="00262F20">
        <w:rPr>
          <w:i w:val="0"/>
          <w:iCs w:val="0"/>
          <w:sz w:val="22"/>
          <w:szCs w:val="22"/>
        </w:rPr>
        <w:t>muscovite</w:t>
      </w:r>
      <w:proofErr w:type="spellEnd"/>
      <w:r w:rsidRPr="00262F20">
        <w:rPr>
          <w:i w:val="0"/>
          <w:iCs w:val="0"/>
          <w:sz w:val="22"/>
          <w:szCs w:val="22"/>
        </w:rPr>
        <w:t xml:space="preserve"> </w:t>
      </w:r>
      <w:proofErr w:type="spellStart"/>
      <w:r w:rsidRPr="00262F20">
        <w:rPr>
          <w:i w:val="0"/>
          <w:iCs w:val="0"/>
          <w:sz w:val="22"/>
          <w:szCs w:val="22"/>
        </w:rPr>
        <w:t>particle</w:t>
      </w:r>
      <w:proofErr w:type="spellEnd"/>
      <w:r w:rsidRPr="00262F20">
        <w:rPr>
          <w:i w:val="0"/>
          <w:iCs w:val="0"/>
          <w:sz w:val="22"/>
          <w:szCs w:val="22"/>
        </w:rPr>
        <w:t xml:space="preserve"> a pigment </w:t>
      </w:r>
      <w:proofErr w:type="spellStart"/>
      <w:r w:rsidRPr="00262F20">
        <w:rPr>
          <w:i w:val="0"/>
          <w:iCs w:val="0"/>
          <w:sz w:val="22"/>
          <w:szCs w:val="22"/>
        </w:rPr>
        <w:t>is</w:t>
      </w:r>
      <w:proofErr w:type="spellEnd"/>
      <w:r w:rsidRPr="00262F20">
        <w:rPr>
          <w:i w:val="0"/>
          <w:iCs w:val="0"/>
          <w:sz w:val="22"/>
          <w:szCs w:val="22"/>
        </w:rPr>
        <w:t xml:space="preserve"> </w:t>
      </w:r>
      <w:proofErr w:type="spellStart"/>
      <w:r w:rsidRPr="00262F20">
        <w:rPr>
          <w:i w:val="0"/>
          <w:iCs w:val="0"/>
          <w:sz w:val="22"/>
          <w:szCs w:val="22"/>
        </w:rPr>
        <w:t>obtained</w:t>
      </w:r>
      <w:proofErr w:type="spellEnd"/>
      <w:r w:rsidRPr="00262F20">
        <w:rPr>
          <w:i w:val="0"/>
          <w:iCs w:val="0"/>
          <w:sz w:val="22"/>
          <w:szCs w:val="22"/>
        </w:rPr>
        <w:t xml:space="preserve">, </w:t>
      </w:r>
      <w:proofErr w:type="spellStart"/>
      <w:r w:rsidRPr="00262F20">
        <w:rPr>
          <w:i w:val="0"/>
          <w:iCs w:val="0"/>
          <w:sz w:val="22"/>
          <w:szCs w:val="22"/>
        </w:rPr>
        <w:t>which</w:t>
      </w:r>
      <w:proofErr w:type="spellEnd"/>
      <w:r w:rsidRPr="00262F20">
        <w:rPr>
          <w:i w:val="0"/>
          <w:iCs w:val="0"/>
          <w:sz w:val="22"/>
          <w:szCs w:val="22"/>
        </w:rPr>
        <w:t xml:space="preserve"> </w:t>
      </w:r>
      <w:proofErr w:type="spellStart"/>
      <w:r w:rsidRPr="00262F20">
        <w:rPr>
          <w:i w:val="0"/>
          <w:iCs w:val="0"/>
          <w:sz w:val="22"/>
          <w:szCs w:val="22"/>
        </w:rPr>
        <w:t>being</w:t>
      </w:r>
      <w:proofErr w:type="spellEnd"/>
      <w:r w:rsidRPr="00262F20">
        <w:rPr>
          <w:i w:val="0"/>
          <w:iCs w:val="0"/>
          <w:sz w:val="22"/>
          <w:szCs w:val="22"/>
        </w:rPr>
        <w:t xml:space="preserve"> </w:t>
      </w:r>
      <w:proofErr w:type="spellStart"/>
      <w:r w:rsidRPr="00262F20">
        <w:rPr>
          <w:i w:val="0"/>
          <w:iCs w:val="0"/>
          <w:sz w:val="22"/>
          <w:szCs w:val="22"/>
        </w:rPr>
        <w:t>applied</w:t>
      </w:r>
      <w:proofErr w:type="spellEnd"/>
      <w:r w:rsidRPr="00262F20">
        <w:rPr>
          <w:i w:val="0"/>
          <w:iCs w:val="0"/>
          <w:sz w:val="22"/>
          <w:szCs w:val="22"/>
        </w:rPr>
        <w:t xml:space="preserve"> to </w:t>
      </w:r>
      <w:proofErr w:type="spellStart"/>
      <w:r w:rsidRPr="00262F20">
        <w:rPr>
          <w:i w:val="0"/>
          <w:iCs w:val="0"/>
          <w:sz w:val="22"/>
          <w:szCs w:val="22"/>
        </w:rPr>
        <w:t>coatings</w:t>
      </w:r>
      <w:proofErr w:type="spellEnd"/>
      <w:r w:rsidRPr="00262F20">
        <w:rPr>
          <w:i w:val="0"/>
          <w:iCs w:val="0"/>
          <w:sz w:val="22"/>
          <w:szCs w:val="22"/>
        </w:rPr>
        <w:t xml:space="preserve"> </w:t>
      </w:r>
      <w:proofErr w:type="spellStart"/>
      <w:r w:rsidRPr="00262F20">
        <w:rPr>
          <w:i w:val="0"/>
          <w:iCs w:val="0"/>
          <w:sz w:val="22"/>
          <w:szCs w:val="22"/>
        </w:rPr>
        <w:t>improves</w:t>
      </w:r>
      <w:proofErr w:type="spellEnd"/>
      <w:r w:rsidRPr="00262F20">
        <w:rPr>
          <w:i w:val="0"/>
          <w:iCs w:val="0"/>
          <w:sz w:val="22"/>
          <w:szCs w:val="22"/>
        </w:rPr>
        <w:t xml:space="preserve"> </w:t>
      </w:r>
      <w:proofErr w:type="spellStart"/>
      <w:r w:rsidRPr="00262F20">
        <w:rPr>
          <w:i w:val="0"/>
          <w:iCs w:val="0"/>
          <w:sz w:val="22"/>
          <w:szCs w:val="22"/>
        </w:rPr>
        <w:t>the</w:t>
      </w:r>
      <w:proofErr w:type="spellEnd"/>
      <w:r w:rsidRPr="00262F20">
        <w:rPr>
          <w:i w:val="0"/>
          <w:iCs w:val="0"/>
          <w:sz w:val="22"/>
          <w:szCs w:val="22"/>
        </w:rPr>
        <w:t xml:space="preserve"> </w:t>
      </w:r>
      <w:proofErr w:type="spellStart"/>
      <w:r w:rsidRPr="00262F20">
        <w:rPr>
          <w:i w:val="0"/>
          <w:iCs w:val="0"/>
          <w:sz w:val="22"/>
          <w:szCs w:val="22"/>
        </w:rPr>
        <w:t>mechanical</w:t>
      </w:r>
      <w:proofErr w:type="spellEnd"/>
      <w:r w:rsidRPr="00262F20">
        <w:rPr>
          <w:i w:val="0"/>
          <w:iCs w:val="0"/>
          <w:sz w:val="22"/>
          <w:szCs w:val="22"/>
        </w:rPr>
        <w:t xml:space="preserve"> </w:t>
      </w:r>
      <w:proofErr w:type="spellStart"/>
      <w:r w:rsidRPr="00262F20">
        <w:rPr>
          <w:i w:val="0"/>
          <w:iCs w:val="0"/>
          <w:sz w:val="22"/>
          <w:szCs w:val="22"/>
        </w:rPr>
        <w:t>properties</w:t>
      </w:r>
      <w:proofErr w:type="spellEnd"/>
      <w:r w:rsidRPr="00262F20">
        <w:rPr>
          <w:i w:val="0"/>
          <w:iCs w:val="0"/>
          <w:sz w:val="22"/>
          <w:szCs w:val="22"/>
        </w:rPr>
        <w:t xml:space="preserve"> </w:t>
      </w:r>
      <w:proofErr w:type="spellStart"/>
      <w:r w:rsidRPr="00262F20">
        <w:rPr>
          <w:i w:val="0"/>
          <w:iCs w:val="0"/>
          <w:sz w:val="22"/>
          <w:szCs w:val="22"/>
        </w:rPr>
        <w:t>thereof</w:t>
      </w:r>
      <w:proofErr w:type="spellEnd"/>
      <w:r w:rsidRPr="00262F20">
        <w:rPr>
          <w:i w:val="0"/>
          <w:iCs w:val="0"/>
          <w:sz w:val="22"/>
          <w:szCs w:val="22"/>
        </w:rPr>
        <w:t xml:space="preserve">, </w:t>
      </w:r>
      <w:proofErr w:type="spellStart"/>
      <w:r w:rsidRPr="00262F20">
        <w:rPr>
          <w:i w:val="0"/>
          <w:iCs w:val="0"/>
          <w:sz w:val="22"/>
          <w:szCs w:val="22"/>
        </w:rPr>
        <w:t>resistance</w:t>
      </w:r>
      <w:proofErr w:type="spellEnd"/>
      <w:r w:rsidRPr="00262F20">
        <w:rPr>
          <w:i w:val="0"/>
          <w:iCs w:val="0"/>
          <w:sz w:val="22"/>
          <w:szCs w:val="22"/>
        </w:rPr>
        <w:t xml:space="preserve"> to UV </w:t>
      </w:r>
      <w:proofErr w:type="spellStart"/>
      <w:r w:rsidRPr="00262F20">
        <w:rPr>
          <w:i w:val="0"/>
          <w:iCs w:val="0"/>
          <w:sz w:val="22"/>
          <w:szCs w:val="22"/>
        </w:rPr>
        <w:t>radiation</w:t>
      </w:r>
      <w:proofErr w:type="spellEnd"/>
      <w:r w:rsidRPr="00262F20">
        <w:rPr>
          <w:i w:val="0"/>
          <w:iCs w:val="0"/>
          <w:sz w:val="22"/>
          <w:szCs w:val="22"/>
        </w:rPr>
        <w:t xml:space="preserve"> and </w:t>
      </w:r>
      <w:proofErr w:type="spellStart"/>
      <w:r w:rsidRPr="00262F20">
        <w:rPr>
          <w:i w:val="0"/>
          <w:iCs w:val="0"/>
          <w:sz w:val="22"/>
          <w:szCs w:val="22"/>
        </w:rPr>
        <w:t>acts</w:t>
      </w:r>
      <w:proofErr w:type="spellEnd"/>
      <w:r w:rsidRPr="00262F20">
        <w:rPr>
          <w:i w:val="0"/>
          <w:iCs w:val="0"/>
          <w:sz w:val="22"/>
          <w:szCs w:val="22"/>
        </w:rPr>
        <w:t xml:space="preserve"> as </w:t>
      </w:r>
      <w:proofErr w:type="spellStart"/>
      <w:r w:rsidRPr="00262F20">
        <w:rPr>
          <w:i w:val="0"/>
          <w:iCs w:val="0"/>
          <w:sz w:val="22"/>
          <w:szCs w:val="22"/>
        </w:rPr>
        <w:t>an</w:t>
      </w:r>
      <w:proofErr w:type="spellEnd"/>
      <w:r w:rsidRPr="00262F20">
        <w:rPr>
          <w:i w:val="0"/>
          <w:iCs w:val="0"/>
          <w:sz w:val="22"/>
          <w:szCs w:val="22"/>
        </w:rPr>
        <w:t xml:space="preserve"> </w:t>
      </w:r>
      <w:proofErr w:type="spellStart"/>
      <w:r w:rsidRPr="00262F20">
        <w:rPr>
          <w:i w:val="0"/>
          <w:iCs w:val="0"/>
          <w:sz w:val="22"/>
          <w:szCs w:val="22"/>
        </w:rPr>
        <w:t>anticorrosion</w:t>
      </w:r>
      <w:proofErr w:type="spellEnd"/>
      <w:r w:rsidRPr="00262F20">
        <w:rPr>
          <w:i w:val="0"/>
          <w:iCs w:val="0"/>
          <w:sz w:val="22"/>
          <w:szCs w:val="22"/>
        </w:rPr>
        <w:t xml:space="preserve"> </w:t>
      </w:r>
      <w:proofErr w:type="spellStart"/>
      <w:r w:rsidRPr="00262F20">
        <w:rPr>
          <w:i w:val="0"/>
          <w:iCs w:val="0"/>
          <w:sz w:val="22"/>
          <w:szCs w:val="22"/>
        </w:rPr>
        <w:t>barrier</w:t>
      </w:r>
      <w:proofErr w:type="spellEnd"/>
      <w:r w:rsidRPr="00262F20">
        <w:rPr>
          <w:i w:val="0"/>
          <w:iCs w:val="0"/>
          <w:sz w:val="22"/>
          <w:szCs w:val="22"/>
        </w:rPr>
        <w:t xml:space="preserve">. </w:t>
      </w:r>
      <w:proofErr w:type="spellStart"/>
      <w:r w:rsidRPr="00262F20">
        <w:rPr>
          <w:i w:val="0"/>
          <w:iCs w:val="0"/>
          <w:sz w:val="22"/>
          <w:szCs w:val="22"/>
        </w:rPr>
        <w:t>The</w:t>
      </w:r>
      <w:proofErr w:type="spellEnd"/>
      <w:r w:rsidRPr="00262F20">
        <w:rPr>
          <w:i w:val="0"/>
          <w:iCs w:val="0"/>
          <w:sz w:val="22"/>
          <w:szCs w:val="22"/>
        </w:rPr>
        <w:t xml:space="preserve"> optimum </w:t>
      </w:r>
      <w:proofErr w:type="spellStart"/>
      <w:r w:rsidRPr="00262F20">
        <w:rPr>
          <w:i w:val="0"/>
          <w:iCs w:val="0"/>
          <w:sz w:val="22"/>
          <w:szCs w:val="22"/>
        </w:rPr>
        <w:t>concentration</w:t>
      </w:r>
      <w:proofErr w:type="spellEnd"/>
      <w:r w:rsidRPr="00262F20">
        <w:rPr>
          <w:i w:val="0"/>
          <w:iCs w:val="0"/>
          <w:sz w:val="22"/>
          <w:szCs w:val="22"/>
        </w:rPr>
        <w:t xml:space="preserve"> </w:t>
      </w:r>
      <w:proofErr w:type="spellStart"/>
      <w:r w:rsidRPr="00262F20">
        <w:rPr>
          <w:i w:val="0"/>
          <w:iCs w:val="0"/>
          <w:sz w:val="22"/>
          <w:szCs w:val="22"/>
        </w:rPr>
        <w:t>of</w:t>
      </w:r>
      <w:proofErr w:type="spellEnd"/>
      <w:r w:rsidRPr="00262F20">
        <w:rPr>
          <w:i w:val="0"/>
          <w:iCs w:val="0"/>
          <w:sz w:val="22"/>
          <w:szCs w:val="22"/>
        </w:rPr>
        <w:t xml:space="preserve"> </w:t>
      </w:r>
      <w:proofErr w:type="spellStart"/>
      <w:r w:rsidRPr="00262F20">
        <w:rPr>
          <w:i w:val="0"/>
          <w:iCs w:val="0"/>
          <w:sz w:val="22"/>
          <w:szCs w:val="22"/>
        </w:rPr>
        <w:t>lamellar</w:t>
      </w:r>
      <w:proofErr w:type="spellEnd"/>
      <w:r w:rsidRPr="00262F20">
        <w:rPr>
          <w:i w:val="0"/>
          <w:iCs w:val="0"/>
          <w:sz w:val="22"/>
          <w:szCs w:val="22"/>
        </w:rPr>
        <w:t xml:space="preserve"> </w:t>
      </w:r>
      <w:proofErr w:type="spellStart"/>
      <w:r w:rsidRPr="00262F20">
        <w:rPr>
          <w:i w:val="0"/>
          <w:iCs w:val="0"/>
          <w:sz w:val="22"/>
          <w:szCs w:val="22"/>
        </w:rPr>
        <w:t>surface-treated</w:t>
      </w:r>
      <w:proofErr w:type="spellEnd"/>
      <w:r w:rsidRPr="00262F20">
        <w:rPr>
          <w:i w:val="0"/>
          <w:iCs w:val="0"/>
          <w:sz w:val="22"/>
          <w:szCs w:val="22"/>
        </w:rPr>
        <w:t xml:space="preserve"> </w:t>
      </w:r>
      <w:proofErr w:type="spellStart"/>
      <w:r w:rsidRPr="00262F20">
        <w:rPr>
          <w:i w:val="0"/>
          <w:iCs w:val="0"/>
          <w:sz w:val="22"/>
          <w:szCs w:val="22"/>
        </w:rPr>
        <w:t>muscovite</w:t>
      </w:r>
      <w:proofErr w:type="spellEnd"/>
      <w:r w:rsidRPr="00262F20">
        <w:rPr>
          <w:i w:val="0"/>
          <w:iCs w:val="0"/>
          <w:sz w:val="22"/>
          <w:szCs w:val="22"/>
        </w:rPr>
        <w:t xml:space="preserve"> in </w:t>
      </w:r>
      <w:proofErr w:type="spellStart"/>
      <w:r w:rsidRPr="00262F20">
        <w:rPr>
          <w:i w:val="0"/>
          <w:iCs w:val="0"/>
          <w:sz w:val="22"/>
          <w:szCs w:val="22"/>
        </w:rPr>
        <w:t>the</w:t>
      </w:r>
      <w:proofErr w:type="spellEnd"/>
      <w:r w:rsidRPr="00262F20">
        <w:rPr>
          <w:i w:val="0"/>
          <w:iCs w:val="0"/>
          <w:sz w:val="22"/>
          <w:szCs w:val="22"/>
        </w:rPr>
        <w:t xml:space="preserve"> </w:t>
      </w:r>
      <w:proofErr w:type="spellStart"/>
      <w:r w:rsidRPr="00262F20">
        <w:rPr>
          <w:i w:val="0"/>
          <w:iCs w:val="0"/>
          <w:sz w:val="22"/>
          <w:szCs w:val="22"/>
        </w:rPr>
        <w:t>coatings</w:t>
      </w:r>
      <w:proofErr w:type="spellEnd"/>
      <w:r w:rsidRPr="00262F20">
        <w:rPr>
          <w:i w:val="0"/>
          <w:iCs w:val="0"/>
          <w:sz w:val="22"/>
          <w:szCs w:val="22"/>
        </w:rPr>
        <w:t xml:space="preserve"> </w:t>
      </w:r>
      <w:proofErr w:type="spellStart"/>
      <w:r w:rsidRPr="00262F20">
        <w:rPr>
          <w:i w:val="0"/>
          <w:iCs w:val="0"/>
          <w:sz w:val="22"/>
          <w:szCs w:val="22"/>
        </w:rPr>
        <w:t>amounts</w:t>
      </w:r>
      <w:proofErr w:type="spellEnd"/>
      <w:r w:rsidRPr="00262F20">
        <w:rPr>
          <w:i w:val="0"/>
          <w:iCs w:val="0"/>
          <w:sz w:val="22"/>
          <w:szCs w:val="22"/>
        </w:rPr>
        <w:t xml:space="preserve"> to 20 vol. %.</w:t>
      </w:r>
    </w:p>
    <w:p w:rsidR="000044B2" w:rsidRDefault="00E11363" w:rsidP="000044B2">
      <w:pPr>
        <w:spacing w:before="120"/>
        <w:ind w:left="567" w:right="567"/>
        <w:jc w:val="center"/>
        <w:rPr>
          <w:b/>
          <w:bCs/>
          <w:sz w:val="22"/>
          <w:szCs w:val="22"/>
        </w:rPr>
      </w:pPr>
      <w:proofErr w:type="spellStart"/>
      <w:r w:rsidRPr="00262F20">
        <w:rPr>
          <w:b/>
          <w:bCs/>
          <w:sz w:val="22"/>
          <w:szCs w:val="22"/>
        </w:rPr>
        <w:t>Key</w:t>
      </w:r>
      <w:proofErr w:type="spellEnd"/>
      <w:r w:rsidRPr="00262F20">
        <w:rPr>
          <w:b/>
          <w:bCs/>
          <w:sz w:val="22"/>
          <w:szCs w:val="22"/>
        </w:rPr>
        <w:t xml:space="preserve"> </w:t>
      </w:r>
      <w:proofErr w:type="spellStart"/>
      <w:r w:rsidRPr="00262F20">
        <w:rPr>
          <w:b/>
          <w:bCs/>
          <w:sz w:val="22"/>
          <w:szCs w:val="22"/>
        </w:rPr>
        <w:t>words</w:t>
      </w:r>
      <w:proofErr w:type="spellEnd"/>
    </w:p>
    <w:p w:rsidR="00E11363" w:rsidRPr="00262F20" w:rsidRDefault="00E11363" w:rsidP="000044B2">
      <w:pPr>
        <w:spacing w:before="120"/>
        <w:ind w:left="567" w:right="567"/>
        <w:jc w:val="center"/>
        <w:rPr>
          <w:sz w:val="22"/>
          <w:szCs w:val="22"/>
        </w:rPr>
      </w:pPr>
      <w:proofErr w:type="spellStart"/>
      <w:r w:rsidRPr="00262F20">
        <w:rPr>
          <w:sz w:val="22"/>
          <w:szCs w:val="22"/>
        </w:rPr>
        <w:t>Nonisometric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lamellar</w:t>
      </w:r>
      <w:proofErr w:type="spellEnd"/>
      <w:r w:rsidRPr="00262F20">
        <w:rPr>
          <w:sz w:val="22"/>
          <w:szCs w:val="22"/>
        </w:rPr>
        <w:t xml:space="preserve"> pigment, </w:t>
      </w:r>
      <w:proofErr w:type="spellStart"/>
      <w:r w:rsidRPr="00262F20">
        <w:rPr>
          <w:sz w:val="22"/>
          <w:szCs w:val="22"/>
        </w:rPr>
        <w:t>muscovite</w:t>
      </w:r>
      <w:proofErr w:type="spellEnd"/>
      <w:r w:rsidRPr="00262F20">
        <w:rPr>
          <w:sz w:val="22"/>
          <w:szCs w:val="22"/>
        </w:rPr>
        <w:t xml:space="preserve">, </w:t>
      </w:r>
      <w:proofErr w:type="spellStart"/>
      <w:r w:rsidRPr="00262F20">
        <w:rPr>
          <w:sz w:val="22"/>
          <w:szCs w:val="22"/>
        </w:rPr>
        <w:t>specularite</w:t>
      </w:r>
      <w:proofErr w:type="spellEnd"/>
      <w:r w:rsidRPr="00262F20">
        <w:rPr>
          <w:sz w:val="22"/>
          <w:szCs w:val="22"/>
        </w:rPr>
        <w:t xml:space="preserve">, </w:t>
      </w:r>
      <w:proofErr w:type="spellStart"/>
      <w:r w:rsidRPr="00262F20">
        <w:rPr>
          <w:sz w:val="22"/>
          <w:szCs w:val="22"/>
        </w:rPr>
        <w:t>anticorrosive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coating</w:t>
      </w:r>
      <w:proofErr w:type="spellEnd"/>
    </w:p>
    <w:p w:rsidR="00AE3004" w:rsidRPr="00262F20" w:rsidRDefault="00AE3004" w:rsidP="00534034">
      <w:pPr>
        <w:spacing w:before="120"/>
        <w:ind w:left="567" w:right="567"/>
        <w:jc w:val="both"/>
        <w:rPr>
          <w:sz w:val="22"/>
          <w:szCs w:val="22"/>
        </w:rPr>
      </w:pPr>
    </w:p>
    <w:p w:rsidR="00E11363" w:rsidRPr="00262F20" w:rsidRDefault="00E11363" w:rsidP="00051EB7">
      <w:pPr>
        <w:spacing w:line="360" w:lineRule="auto"/>
        <w:ind w:firstLine="709"/>
        <w:jc w:val="both"/>
        <w:rPr>
          <w:sz w:val="22"/>
          <w:szCs w:val="22"/>
        </w:rPr>
      </w:pPr>
      <w:proofErr w:type="spellStart"/>
      <w:r w:rsidRPr="00262F20">
        <w:rPr>
          <w:sz w:val="22"/>
          <w:szCs w:val="22"/>
        </w:rPr>
        <w:t>Nonisometric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lamellar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pigments</w:t>
      </w:r>
      <w:proofErr w:type="spellEnd"/>
      <w:r w:rsidRPr="00262F20">
        <w:rPr>
          <w:sz w:val="22"/>
          <w:szCs w:val="22"/>
        </w:rPr>
        <w:t xml:space="preserve"> are </w:t>
      </w:r>
      <w:proofErr w:type="spellStart"/>
      <w:r w:rsidRPr="00262F20">
        <w:rPr>
          <w:sz w:val="22"/>
          <w:szCs w:val="22"/>
        </w:rPr>
        <w:t>used</w:t>
      </w:r>
      <w:proofErr w:type="spellEnd"/>
      <w:r w:rsidRPr="00262F20">
        <w:rPr>
          <w:sz w:val="22"/>
          <w:szCs w:val="22"/>
        </w:rPr>
        <w:t xml:space="preserve"> in </w:t>
      </w:r>
      <w:proofErr w:type="spellStart"/>
      <w:r w:rsidRPr="00262F20">
        <w:rPr>
          <w:sz w:val="22"/>
          <w:szCs w:val="22"/>
        </w:rPr>
        <w:t>anticorrosive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coatings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for</w:t>
      </w:r>
      <w:proofErr w:type="spellEnd"/>
      <w:r w:rsidRPr="00262F20">
        <w:rPr>
          <w:sz w:val="22"/>
          <w:szCs w:val="22"/>
        </w:rPr>
        <w:t xml:space="preserve"> a </w:t>
      </w:r>
      <w:proofErr w:type="spellStart"/>
      <w:r w:rsidRPr="00262F20">
        <w:rPr>
          <w:sz w:val="22"/>
          <w:szCs w:val="22"/>
        </w:rPr>
        <w:t>series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of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years</w:t>
      </w:r>
      <w:proofErr w:type="spellEnd"/>
      <w:r w:rsidR="000044B2">
        <w:rPr>
          <w:sz w:val="22"/>
          <w:szCs w:val="22"/>
        </w:rPr>
        <w:t xml:space="preserve"> </w:t>
      </w:r>
      <w:r w:rsidR="000044B2" w:rsidRPr="00262F20">
        <w:rPr>
          <w:sz w:val="22"/>
          <w:szCs w:val="22"/>
          <w:lang w:val="en-US"/>
        </w:rPr>
        <w:t>[1]</w:t>
      </w:r>
      <w:r w:rsidRPr="00262F20">
        <w:rPr>
          <w:sz w:val="22"/>
          <w:szCs w:val="22"/>
        </w:rPr>
        <w:t xml:space="preserve">. </w:t>
      </w:r>
      <w:proofErr w:type="spellStart"/>
      <w:r w:rsidRPr="00262F20">
        <w:rPr>
          <w:sz w:val="22"/>
          <w:szCs w:val="22"/>
        </w:rPr>
        <w:t>The</w:t>
      </w:r>
      <w:proofErr w:type="spellEnd"/>
      <w:r w:rsidRPr="00262F20">
        <w:rPr>
          <w:sz w:val="22"/>
          <w:szCs w:val="22"/>
        </w:rPr>
        <w:t xml:space="preserve"> most </w:t>
      </w:r>
      <w:proofErr w:type="spellStart"/>
      <w:r w:rsidRPr="00262F20">
        <w:rPr>
          <w:sz w:val="22"/>
          <w:szCs w:val="22"/>
        </w:rPr>
        <w:t>widely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used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lamellar</w:t>
      </w:r>
      <w:proofErr w:type="spellEnd"/>
      <w:r w:rsidRPr="00262F20">
        <w:rPr>
          <w:sz w:val="22"/>
          <w:szCs w:val="22"/>
        </w:rPr>
        <w:t xml:space="preserve"> pigment </w:t>
      </w:r>
      <w:proofErr w:type="spellStart"/>
      <w:r w:rsidRPr="00262F20">
        <w:rPr>
          <w:sz w:val="22"/>
          <w:szCs w:val="22"/>
        </w:rPr>
        <w:t>for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this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purpose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is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ferric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mica</w:t>
      </w:r>
      <w:proofErr w:type="spellEnd"/>
      <w:r w:rsidRPr="00262F20">
        <w:rPr>
          <w:sz w:val="22"/>
          <w:szCs w:val="22"/>
        </w:rPr>
        <w:t xml:space="preserve"> </w:t>
      </w:r>
      <w:r w:rsidR="00674DDE" w:rsidRPr="00262F20">
        <w:rPr>
          <w:sz w:val="22"/>
          <w:szCs w:val="22"/>
          <w:lang w:val="en-US"/>
        </w:rPr>
        <w:t>(</w:t>
      </w:r>
      <w:proofErr w:type="spellStart"/>
      <w:r w:rsidR="00674DDE" w:rsidRPr="00262F20">
        <w:rPr>
          <w:sz w:val="22"/>
          <w:szCs w:val="22"/>
        </w:rPr>
        <w:t>Fig</w:t>
      </w:r>
      <w:proofErr w:type="spellEnd"/>
      <w:r w:rsidR="00674DDE" w:rsidRPr="00262F20">
        <w:rPr>
          <w:sz w:val="22"/>
          <w:szCs w:val="22"/>
        </w:rPr>
        <w:t>. 1)</w:t>
      </w:r>
      <w:r w:rsidRPr="00262F20">
        <w:rPr>
          <w:sz w:val="22"/>
          <w:szCs w:val="22"/>
        </w:rPr>
        <w:t xml:space="preserve">. </w:t>
      </w:r>
      <w:proofErr w:type="spellStart"/>
      <w:r w:rsidRPr="00262F20">
        <w:rPr>
          <w:sz w:val="22"/>
          <w:szCs w:val="22"/>
        </w:rPr>
        <w:t>From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the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chemical</w:t>
      </w:r>
      <w:proofErr w:type="spellEnd"/>
      <w:r w:rsidRPr="00262F20">
        <w:rPr>
          <w:sz w:val="22"/>
          <w:szCs w:val="22"/>
        </w:rPr>
        <w:t xml:space="preserve"> point </w:t>
      </w:r>
      <w:proofErr w:type="spellStart"/>
      <w:r w:rsidRPr="00262F20">
        <w:rPr>
          <w:sz w:val="22"/>
          <w:szCs w:val="22"/>
        </w:rPr>
        <w:t>of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view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it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is</w:t>
      </w:r>
      <w:proofErr w:type="spellEnd"/>
      <w:r w:rsidRPr="00262F20">
        <w:rPr>
          <w:sz w:val="22"/>
          <w:szCs w:val="22"/>
        </w:rPr>
        <w:t xml:space="preserve"> a </w:t>
      </w:r>
      <w:proofErr w:type="spellStart"/>
      <w:r w:rsidRPr="00262F20">
        <w:rPr>
          <w:sz w:val="22"/>
          <w:szCs w:val="22"/>
        </w:rPr>
        <w:t>ferric</w:t>
      </w:r>
      <w:proofErr w:type="spellEnd"/>
      <w:r w:rsidRPr="00262F20">
        <w:rPr>
          <w:sz w:val="22"/>
          <w:szCs w:val="22"/>
        </w:rPr>
        <w:t xml:space="preserve"> oxide in </w:t>
      </w:r>
      <w:proofErr w:type="spellStart"/>
      <w:r w:rsidRPr="00262F20">
        <w:rPr>
          <w:sz w:val="22"/>
          <w:szCs w:val="22"/>
        </w:rPr>
        <w:t>crystalline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lamellar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structure</w:t>
      </w:r>
      <w:proofErr w:type="spellEnd"/>
      <w:r w:rsidRPr="00262F20">
        <w:rPr>
          <w:sz w:val="22"/>
          <w:szCs w:val="22"/>
        </w:rPr>
        <w:t xml:space="preserve"> (</w:t>
      </w:r>
      <w:proofErr w:type="spellStart"/>
      <w:r w:rsidRPr="00262F20">
        <w:rPr>
          <w:sz w:val="22"/>
          <w:szCs w:val="22"/>
        </w:rPr>
        <w:t>specularite</w:t>
      </w:r>
      <w:proofErr w:type="spellEnd"/>
      <w:r w:rsidRPr="00262F20">
        <w:rPr>
          <w:sz w:val="22"/>
          <w:szCs w:val="22"/>
        </w:rPr>
        <w:t xml:space="preserve">). </w:t>
      </w:r>
      <w:proofErr w:type="spellStart"/>
      <w:r w:rsidRPr="00262F20">
        <w:rPr>
          <w:sz w:val="22"/>
          <w:szCs w:val="22"/>
        </w:rPr>
        <w:t>For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the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designation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of</w:t>
      </w:r>
      <w:proofErr w:type="spellEnd"/>
      <w:r w:rsidRPr="00262F20">
        <w:rPr>
          <w:sz w:val="22"/>
          <w:szCs w:val="22"/>
        </w:rPr>
        <w:t xml:space="preserve"> natural-</w:t>
      </w:r>
      <w:proofErr w:type="spellStart"/>
      <w:r w:rsidRPr="00262F20">
        <w:rPr>
          <w:sz w:val="22"/>
          <w:szCs w:val="22"/>
        </w:rPr>
        <w:t>origin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lamellar</w:t>
      </w:r>
      <w:proofErr w:type="spellEnd"/>
      <w:r w:rsidRPr="00262F20">
        <w:rPr>
          <w:sz w:val="22"/>
          <w:szCs w:val="22"/>
        </w:rPr>
        <w:t xml:space="preserve"> pigment </w:t>
      </w:r>
      <w:proofErr w:type="spellStart"/>
      <w:r w:rsidRPr="00262F20">
        <w:rPr>
          <w:sz w:val="22"/>
          <w:szCs w:val="22"/>
        </w:rPr>
        <w:t>the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name</w:t>
      </w:r>
      <w:proofErr w:type="spellEnd"/>
      <w:r w:rsidRPr="00262F20">
        <w:rPr>
          <w:sz w:val="22"/>
          <w:szCs w:val="22"/>
        </w:rPr>
        <w:t xml:space="preserve"> „</w:t>
      </w:r>
      <w:proofErr w:type="spellStart"/>
      <w:r w:rsidRPr="00262F20">
        <w:rPr>
          <w:sz w:val="22"/>
          <w:szCs w:val="22"/>
        </w:rPr>
        <w:t>micaceous</w:t>
      </w:r>
      <w:proofErr w:type="spellEnd"/>
      <w:r w:rsidRPr="00262F20">
        <w:rPr>
          <w:sz w:val="22"/>
          <w:szCs w:val="22"/>
        </w:rPr>
        <w:t xml:space="preserve"> iron oxide (MIO)“ has </w:t>
      </w:r>
      <w:proofErr w:type="spellStart"/>
      <w:r w:rsidRPr="00262F20">
        <w:rPr>
          <w:sz w:val="22"/>
          <w:szCs w:val="22"/>
        </w:rPr>
        <w:t>become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popular</w:t>
      </w:r>
      <w:proofErr w:type="spellEnd"/>
      <w:r w:rsidRPr="00262F20">
        <w:rPr>
          <w:sz w:val="22"/>
          <w:szCs w:val="22"/>
        </w:rPr>
        <w:t xml:space="preserve"> in </w:t>
      </w:r>
      <w:proofErr w:type="spellStart"/>
      <w:r w:rsidRPr="00262F20">
        <w:rPr>
          <w:sz w:val="22"/>
          <w:szCs w:val="22"/>
        </w:rPr>
        <w:t>time</w:t>
      </w:r>
      <w:proofErr w:type="spellEnd"/>
      <w:r w:rsidRPr="00262F20">
        <w:rPr>
          <w:sz w:val="22"/>
          <w:szCs w:val="22"/>
        </w:rPr>
        <w:t xml:space="preserve">. </w:t>
      </w:r>
      <w:proofErr w:type="spellStart"/>
      <w:r w:rsidRPr="00262F20">
        <w:rPr>
          <w:sz w:val="22"/>
          <w:szCs w:val="22"/>
        </w:rPr>
        <w:t>Specularite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modified</w:t>
      </w:r>
      <w:proofErr w:type="spellEnd"/>
      <w:r w:rsidRPr="00262F20">
        <w:rPr>
          <w:sz w:val="22"/>
          <w:szCs w:val="22"/>
        </w:rPr>
        <w:t xml:space="preserve"> to </w:t>
      </w:r>
      <w:proofErr w:type="spellStart"/>
      <w:r w:rsidRPr="00262F20">
        <w:rPr>
          <w:sz w:val="22"/>
          <w:szCs w:val="22"/>
        </w:rPr>
        <w:t>the</w:t>
      </w:r>
      <w:proofErr w:type="spellEnd"/>
      <w:r w:rsidRPr="00262F20">
        <w:rPr>
          <w:sz w:val="22"/>
          <w:szCs w:val="22"/>
        </w:rPr>
        <w:t xml:space="preserve"> pigment </w:t>
      </w:r>
      <w:proofErr w:type="spellStart"/>
      <w:r w:rsidRPr="00262F20">
        <w:rPr>
          <w:sz w:val="22"/>
          <w:szCs w:val="22"/>
        </w:rPr>
        <w:t>form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is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characterized</w:t>
      </w:r>
      <w:proofErr w:type="spellEnd"/>
      <w:r w:rsidRPr="00262F20">
        <w:rPr>
          <w:sz w:val="22"/>
          <w:szCs w:val="22"/>
        </w:rPr>
        <w:t xml:space="preserve"> by a </w:t>
      </w:r>
      <w:proofErr w:type="spellStart"/>
      <w:r w:rsidRPr="00262F20">
        <w:rPr>
          <w:sz w:val="22"/>
          <w:szCs w:val="22"/>
        </w:rPr>
        <w:t>typical</w:t>
      </w:r>
      <w:proofErr w:type="spellEnd"/>
      <w:r w:rsidRPr="00262F20">
        <w:rPr>
          <w:sz w:val="22"/>
          <w:szCs w:val="22"/>
        </w:rPr>
        <w:t xml:space="preserve"> metal-</w:t>
      </w:r>
      <w:proofErr w:type="spellStart"/>
      <w:r w:rsidRPr="00262F20">
        <w:rPr>
          <w:sz w:val="22"/>
          <w:szCs w:val="22"/>
        </w:rPr>
        <w:t>gray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color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of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sparking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appearance</w:t>
      </w:r>
      <w:proofErr w:type="spellEnd"/>
      <w:r w:rsidRPr="00262F20">
        <w:rPr>
          <w:sz w:val="22"/>
          <w:szCs w:val="22"/>
        </w:rPr>
        <w:t xml:space="preserve">. </w:t>
      </w:r>
      <w:proofErr w:type="spellStart"/>
      <w:r w:rsidRPr="00262F20">
        <w:rPr>
          <w:sz w:val="22"/>
          <w:szCs w:val="22"/>
        </w:rPr>
        <w:t>Practical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experience</w:t>
      </w:r>
      <w:proofErr w:type="spellEnd"/>
      <w:r w:rsidRPr="00262F20">
        <w:rPr>
          <w:sz w:val="22"/>
          <w:szCs w:val="22"/>
        </w:rPr>
        <w:t xml:space="preserve"> and </w:t>
      </w:r>
      <w:proofErr w:type="spellStart"/>
      <w:r w:rsidRPr="00262F20">
        <w:rPr>
          <w:sz w:val="22"/>
          <w:szCs w:val="22"/>
        </w:rPr>
        <w:t>published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papers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concerning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the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application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of</w:t>
      </w:r>
      <w:proofErr w:type="spellEnd"/>
      <w:r w:rsidRPr="00262F20">
        <w:rPr>
          <w:sz w:val="22"/>
          <w:szCs w:val="22"/>
        </w:rPr>
        <w:t xml:space="preserve"> MIO </w:t>
      </w:r>
      <w:proofErr w:type="spellStart"/>
      <w:r w:rsidRPr="00262F20">
        <w:rPr>
          <w:sz w:val="22"/>
          <w:szCs w:val="22"/>
        </w:rPr>
        <w:t>pigments</w:t>
      </w:r>
      <w:proofErr w:type="spellEnd"/>
      <w:r w:rsidRPr="00262F20">
        <w:rPr>
          <w:sz w:val="22"/>
          <w:szCs w:val="22"/>
        </w:rPr>
        <w:t xml:space="preserve"> to </w:t>
      </w:r>
      <w:proofErr w:type="spellStart"/>
      <w:r w:rsidRPr="00262F20">
        <w:rPr>
          <w:sz w:val="22"/>
          <w:szCs w:val="22"/>
        </w:rPr>
        <w:t>coatings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destined</w:t>
      </w:r>
      <w:proofErr w:type="spellEnd"/>
      <w:r w:rsidRPr="00262F20">
        <w:rPr>
          <w:sz w:val="22"/>
          <w:szCs w:val="22"/>
        </w:rPr>
        <w:t xml:space="preserve"> to metal </w:t>
      </w:r>
      <w:proofErr w:type="spellStart"/>
      <w:r w:rsidRPr="00262F20">
        <w:rPr>
          <w:sz w:val="22"/>
          <w:szCs w:val="22"/>
        </w:rPr>
        <w:t>protection</w:t>
      </w:r>
      <w:proofErr w:type="spellEnd"/>
      <w:r w:rsidRPr="00262F20">
        <w:rPr>
          <w:sz w:val="22"/>
          <w:szCs w:val="22"/>
        </w:rPr>
        <w:t xml:space="preserve"> show </w:t>
      </w:r>
      <w:proofErr w:type="spellStart"/>
      <w:r w:rsidRPr="00262F20">
        <w:rPr>
          <w:sz w:val="22"/>
          <w:szCs w:val="22"/>
        </w:rPr>
        <w:t>the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outstanding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results</w:t>
      </w:r>
      <w:proofErr w:type="spellEnd"/>
      <w:r w:rsidRPr="00262F20">
        <w:rPr>
          <w:sz w:val="22"/>
          <w:szCs w:val="22"/>
        </w:rPr>
        <w:t xml:space="preserve"> </w:t>
      </w:r>
      <w:r w:rsidR="00674DDE" w:rsidRPr="00262F20">
        <w:rPr>
          <w:sz w:val="22"/>
          <w:szCs w:val="22"/>
        </w:rPr>
        <w:t>(Tab. 1)</w:t>
      </w:r>
      <w:r w:rsidRPr="00262F20">
        <w:rPr>
          <w:sz w:val="22"/>
          <w:szCs w:val="22"/>
        </w:rPr>
        <w:t xml:space="preserve">. </w:t>
      </w:r>
      <w:proofErr w:type="spellStart"/>
      <w:r w:rsidRPr="00262F20">
        <w:rPr>
          <w:sz w:val="22"/>
          <w:szCs w:val="22"/>
        </w:rPr>
        <w:t>The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anticorrosive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coatings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pigmented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with</w:t>
      </w:r>
      <w:proofErr w:type="spellEnd"/>
      <w:r w:rsidRPr="00262F20">
        <w:rPr>
          <w:sz w:val="22"/>
          <w:szCs w:val="22"/>
        </w:rPr>
        <w:t xml:space="preserve"> a MIO pigment show </w:t>
      </w:r>
      <w:proofErr w:type="spellStart"/>
      <w:r w:rsidRPr="00262F20">
        <w:rPr>
          <w:sz w:val="22"/>
          <w:szCs w:val="22"/>
        </w:rPr>
        <w:t>excellent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barrier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properties</w:t>
      </w:r>
      <w:proofErr w:type="spellEnd"/>
      <w:r w:rsidRPr="00262F20">
        <w:rPr>
          <w:sz w:val="22"/>
          <w:szCs w:val="22"/>
        </w:rPr>
        <w:t xml:space="preserve"> - </w:t>
      </w:r>
      <w:proofErr w:type="spellStart"/>
      <w:r w:rsidRPr="00262F20">
        <w:rPr>
          <w:sz w:val="22"/>
          <w:szCs w:val="22"/>
        </w:rPr>
        <w:t>they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hinder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the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permeation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of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corrosive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substances</w:t>
      </w:r>
      <w:proofErr w:type="spellEnd"/>
      <w:r w:rsidRPr="00262F20">
        <w:rPr>
          <w:sz w:val="22"/>
          <w:szCs w:val="22"/>
        </w:rPr>
        <w:t xml:space="preserve"> and </w:t>
      </w:r>
      <w:proofErr w:type="spellStart"/>
      <w:r w:rsidRPr="00262F20">
        <w:rPr>
          <w:sz w:val="22"/>
          <w:szCs w:val="22"/>
        </w:rPr>
        <w:t>water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through</w:t>
      </w:r>
      <w:proofErr w:type="spellEnd"/>
      <w:r w:rsidRPr="00262F20">
        <w:rPr>
          <w:sz w:val="22"/>
          <w:szCs w:val="22"/>
        </w:rPr>
        <w:t xml:space="preserve"> </w:t>
      </w:r>
      <w:proofErr w:type="spellStart"/>
      <w:r w:rsidRPr="00262F20">
        <w:rPr>
          <w:sz w:val="22"/>
          <w:szCs w:val="22"/>
        </w:rPr>
        <w:t>the</w:t>
      </w:r>
      <w:proofErr w:type="spellEnd"/>
      <w:r w:rsidRPr="00262F20">
        <w:rPr>
          <w:sz w:val="22"/>
          <w:szCs w:val="22"/>
        </w:rPr>
        <w:t xml:space="preserve"> film, </w:t>
      </w:r>
      <w:proofErr w:type="spellStart"/>
      <w:r w:rsidRPr="00262F20">
        <w:rPr>
          <w:sz w:val="22"/>
          <w:szCs w:val="22"/>
        </w:rPr>
        <w:t>increase</w:t>
      </w:r>
      <w:proofErr w:type="spellEnd"/>
      <w:r w:rsidR="00890134" w:rsidRPr="00262F20">
        <w:rPr>
          <w:sz w:val="22"/>
          <w:szCs w:val="22"/>
        </w:rPr>
        <w:t xml:space="preserve"> </w:t>
      </w:r>
      <w:proofErr w:type="spellStart"/>
      <w:r w:rsidR="00890134" w:rsidRPr="00262F20">
        <w:rPr>
          <w:sz w:val="22"/>
          <w:szCs w:val="22"/>
        </w:rPr>
        <w:t>the</w:t>
      </w:r>
      <w:proofErr w:type="spellEnd"/>
      <w:r w:rsidR="00890134" w:rsidRPr="00262F20">
        <w:rPr>
          <w:sz w:val="22"/>
          <w:szCs w:val="22"/>
        </w:rPr>
        <w:t xml:space="preserve"> </w:t>
      </w:r>
      <w:proofErr w:type="spellStart"/>
      <w:r w:rsidR="00890134" w:rsidRPr="00262F20">
        <w:rPr>
          <w:sz w:val="22"/>
          <w:szCs w:val="22"/>
        </w:rPr>
        <w:t>adhesion</w:t>
      </w:r>
      <w:proofErr w:type="spellEnd"/>
      <w:r w:rsidR="00890134" w:rsidRPr="00262F20">
        <w:rPr>
          <w:sz w:val="22"/>
          <w:szCs w:val="22"/>
        </w:rPr>
        <w:t xml:space="preserve"> </w:t>
      </w:r>
      <w:proofErr w:type="spellStart"/>
      <w:r w:rsidR="00890134" w:rsidRPr="00262F20">
        <w:rPr>
          <w:sz w:val="22"/>
          <w:szCs w:val="22"/>
        </w:rPr>
        <w:t>of</w:t>
      </w:r>
      <w:proofErr w:type="spellEnd"/>
      <w:r w:rsidR="00890134" w:rsidRPr="00262F20">
        <w:rPr>
          <w:sz w:val="22"/>
          <w:szCs w:val="22"/>
        </w:rPr>
        <w:t xml:space="preserve"> </w:t>
      </w:r>
      <w:proofErr w:type="spellStart"/>
      <w:r w:rsidR="00890134" w:rsidRPr="00262F20">
        <w:rPr>
          <w:sz w:val="22"/>
          <w:szCs w:val="22"/>
        </w:rPr>
        <w:t>coating</w:t>
      </w:r>
      <w:proofErr w:type="spellEnd"/>
      <w:r w:rsidR="00890134" w:rsidRPr="00262F20">
        <w:rPr>
          <w:sz w:val="22"/>
          <w:szCs w:val="22"/>
        </w:rPr>
        <w:t xml:space="preserve"> to </w:t>
      </w:r>
      <w:proofErr w:type="spellStart"/>
      <w:r w:rsidR="00890134" w:rsidRPr="00262F20">
        <w:rPr>
          <w:sz w:val="22"/>
          <w:szCs w:val="22"/>
        </w:rPr>
        <w:t>the</w:t>
      </w:r>
      <w:proofErr w:type="spellEnd"/>
      <w:r w:rsidR="00890134" w:rsidRPr="00262F20">
        <w:rPr>
          <w:sz w:val="22"/>
          <w:szCs w:val="22"/>
        </w:rPr>
        <w:t>……………….</w:t>
      </w:r>
    </w:p>
    <w:p w:rsidR="00E11363" w:rsidRPr="00262F20" w:rsidRDefault="00487A6B" w:rsidP="00E11363">
      <w:pPr>
        <w:pStyle w:val="Wiley-Standard"/>
        <w:jc w:val="center"/>
        <w:rPr>
          <w:bCs/>
          <w:sz w:val="22"/>
          <w:szCs w:val="22"/>
        </w:rPr>
      </w:pPr>
      <w:r w:rsidRPr="00262F20">
        <w:rPr>
          <w:bCs/>
          <w:noProof/>
          <w:sz w:val="22"/>
          <w:szCs w:val="22"/>
          <w:lang w:val="cs-CZ"/>
        </w:rPr>
        <w:lastRenderedPageBreak/>
        <w:drawing>
          <wp:inline distT="0" distB="0" distL="0" distR="0">
            <wp:extent cx="3114675" cy="2733675"/>
            <wp:effectExtent l="0" t="0" r="0" b="0"/>
            <wp:docPr id="1" name="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1363" w:rsidRPr="00262F20" w:rsidRDefault="00E11363" w:rsidP="00821202">
      <w:pPr>
        <w:pStyle w:val="Wiley-Standard"/>
        <w:jc w:val="left"/>
        <w:rPr>
          <w:bCs/>
          <w:sz w:val="22"/>
          <w:szCs w:val="22"/>
          <w:lang w:val="en-US"/>
        </w:rPr>
      </w:pPr>
      <w:r w:rsidRPr="00262F20">
        <w:rPr>
          <w:sz w:val="22"/>
          <w:szCs w:val="22"/>
          <w:lang w:val="en-US"/>
        </w:rPr>
        <w:t xml:space="preserve">Figure </w:t>
      </w:r>
      <w:r w:rsidR="00674DDE" w:rsidRPr="00262F20">
        <w:rPr>
          <w:sz w:val="22"/>
          <w:szCs w:val="22"/>
          <w:lang w:val="en-US"/>
        </w:rPr>
        <w:t>1</w:t>
      </w:r>
      <w:r w:rsidRPr="00262F20">
        <w:rPr>
          <w:sz w:val="22"/>
          <w:szCs w:val="22"/>
          <w:lang w:val="en-US"/>
        </w:rPr>
        <w:t>. T</w:t>
      </w:r>
      <w:r w:rsidRPr="00262F20">
        <w:rPr>
          <w:bCs/>
          <w:sz w:val="22"/>
          <w:szCs w:val="22"/>
          <w:lang w:val="en-US"/>
        </w:rPr>
        <w:t xml:space="preserve">he cohesion component of the coating adhesion in dependence on the lamellar pigment concentrations; </w:t>
      </w:r>
      <w:r w:rsidRPr="00262F20">
        <w:rPr>
          <w:bCs/>
          <w:sz w:val="22"/>
          <w:szCs w:val="22"/>
          <w:lang w:val="en-US"/>
        </w:rPr>
        <w:sym w:font="Wingdings 2" w:char="F0BF"/>
      </w:r>
      <w:r w:rsidRPr="00262F20">
        <w:rPr>
          <w:bCs/>
          <w:sz w:val="22"/>
          <w:szCs w:val="22"/>
          <w:lang w:val="en-US"/>
        </w:rPr>
        <w:t xml:space="preserve"> = muscovite, </w:t>
      </w:r>
      <w:r w:rsidRPr="00262F20">
        <w:rPr>
          <w:bCs/>
          <w:sz w:val="22"/>
          <w:szCs w:val="22"/>
          <w:lang w:val="en-US"/>
        </w:rPr>
        <w:sym w:font="Wingdings 3" w:char="F070"/>
      </w:r>
      <w:r w:rsidRPr="00262F20">
        <w:rPr>
          <w:bCs/>
          <w:sz w:val="22"/>
          <w:szCs w:val="22"/>
          <w:lang w:val="en-US"/>
        </w:rPr>
        <w:t xml:space="preserve"> = Fe-muscovite.</w:t>
      </w:r>
    </w:p>
    <w:p w:rsidR="00E11363" w:rsidRPr="00262F20" w:rsidRDefault="00E11363" w:rsidP="00821202">
      <w:pPr>
        <w:spacing w:line="360" w:lineRule="auto"/>
        <w:rPr>
          <w:i/>
          <w:iCs/>
          <w:sz w:val="22"/>
          <w:szCs w:val="22"/>
          <w:lang w:val="en-US"/>
        </w:rPr>
      </w:pPr>
    </w:p>
    <w:p w:rsidR="00E11363" w:rsidRPr="00262F20" w:rsidRDefault="00E11363" w:rsidP="00821202">
      <w:pPr>
        <w:pStyle w:val="Wiley-Standard"/>
        <w:jc w:val="left"/>
        <w:rPr>
          <w:i/>
          <w:iCs/>
          <w:sz w:val="22"/>
          <w:szCs w:val="22"/>
          <w:lang w:val="en-US"/>
        </w:rPr>
      </w:pPr>
      <w:r w:rsidRPr="00262F20">
        <w:rPr>
          <w:sz w:val="22"/>
          <w:szCs w:val="22"/>
          <w:lang w:val="en-US"/>
        </w:rPr>
        <w:t xml:space="preserve">Table </w:t>
      </w:r>
      <w:r w:rsidR="00674DDE" w:rsidRPr="00262F20">
        <w:rPr>
          <w:sz w:val="22"/>
          <w:szCs w:val="22"/>
          <w:lang w:val="en-US"/>
        </w:rPr>
        <w:t>1</w:t>
      </w:r>
      <w:r w:rsidRPr="00262F20">
        <w:rPr>
          <w:sz w:val="22"/>
          <w:szCs w:val="22"/>
          <w:lang w:val="en-US"/>
        </w:rPr>
        <w:t>. Characterization of lamellar pigments used.</w:t>
      </w:r>
    </w:p>
    <w:tbl>
      <w:tblPr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1524"/>
        <w:gridCol w:w="1396"/>
        <w:gridCol w:w="1397"/>
        <w:gridCol w:w="931"/>
        <w:gridCol w:w="931"/>
        <w:gridCol w:w="932"/>
      </w:tblGrid>
      <w:tr w:rsidR="00E11363" w:rsidRPr="00262F20">
        <w:trPr>
          <w:cantSplit/>
          <w:trHeight w:val="416"/>
        </w:trPr>
        <w:tc>
          <w:tcPr>
            <w:tcW w:w="1606" w:type="dxa"/>
            <w:vMerge w:val="restart"/>
            <w:tcBorders>
              <w:top w:val="single" w:sz="4" w:space="0" w:color="auto"/>
            </w:tcBorders>
          </w:tcPr>
          <w:p w:rsidR="00E11363" w:rsidRPr="00262F20" w:rsidRDefault="00E11363" w:rsidP="006F51F1">
            <w:pPr>
              <w:pStyle w:val="Wiley-Standard"/>
              <w:rPr>
                <w:sz w:val="22"/>
                <w:szCs w:val="22"/>
                <w:lang w:val="en-US"/>
              </w:rPr>
            </w:pPr>
            <w:r w:rsidRPr="00262F20">
              <w:rPr>
                <w:sz w:val="22"/>
                <w:szCs w:val="22"/>
                <w:lang w:val="en-US"/>
              </w:rPr>
              <w:t>Lamellar pigment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E11363" w:rsidRPr="00262F20" w:rsidRDefault="00E11363" w:rsidP="006F51F1">
            <w:pPr>
              <w:pStyle w:val="Wiley-Standard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proofErr w:type="spellStart"/>
            <w:r w:rsidRPr="00262F20">
              <w:rPr>
                <w:sz w:val="22"/>
                <w:szCs w:val="22"/>
                <w:lang w:val="en-US"/>
              </w:rPr>
              <w:t>CPVC</w:t>
            </w:r>
            <w:r w:rsidRPr="00262F20">
              <w:rPr>
                <w:sz w:val="22"/>
                <w:szCs w:val="22"/>
                <w:vertAlign w:val="superscript"/>
                <w:lang w:val="en-US"/>
              </w:rPr>
              <w:t>a</w:t>
            </w:r>
            <w:proofErr w:type="spellEnd"/>
            <w:r w:rsidRPr="00262F20">
              <w:rPr>
                <w:sz w:val="22"/>
                <w:szCs w:val="22"/>
                <w:vertAlign w:val="superscript"/>
                <w:lang w:val="en-US"/>
              </w:rPr>
              <w:t>)</w:t>
            </w:r>
          </w:p>
          <w:p w:rsidR="00E11363" w:rsidRPr="00262F20" w:rsidRDefault="00E11363" w:rsidP="006F51F1">
            <w:pPr>
              <w:pStyle w:val="Wiley-Standard"/>
              <w:jc w:val="center"/>
              <w:rPr>
                <w:sz w:val="22"/>
                <w:szCs w:val="22"/>
                <w:lang w:val="en-US"/>
              </w:rPr>
            </w:pPr>
            <w:r w:rsidRPr="00262F20">
              <w:rPr>
                <w:sz w:val="22"/>
                <w:szCs w:val="22"/>
                <w:lang w:val="en-US"/>
              </w:rPr>
              <w:t>(linseed oil)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</w:tcBorders>
          </w:tcPr>
          <w:p w:rsidR="00E11363" w:rsidRPr="00262F20" w:rsidRDefault="00E11363" w:rsidP="006F51F1">
            <w:pPr>
              <w:pStyle w:val="Wiley-Standard"/>
              <w:jc w:val="center"/>
              <w:rPr>
                <w:sz w:val="22"/>
                <w:szCs w:val="22"/>
                <w:u w:val="single"/>
                <w:lang w:val="en-US"/>
              </w:rPr>
            </w:pPr>
            <w:r w:rsidRPr="00262F20">
              <w:rPr>
                <w:sz w:val="22"/>
                <w:szCs w:val="22"/>
                <w:u w:val="single"/>
                <w:lang w:val="en-US"/>
              </w:rPr>
              <w:t xml:space="preserve">Solubility in </w:t>
            </w:r>
            <w:proofErr w:type="spellStart"/>
            <w:r w:rsidRPr="00262F20">
              <w:rPr>
                <w:sz w:val="22"/>
                <w:szCs w:val="22"/>
                <w:u w:val="single"/>
                <w:lang w:val="en-US"/>
              </w:rPr>
              <w:t>water</w:t>
            </w:r>
            <w:r w:rsidRPr="00262F20">
              <w:rPr>
                <w:sz w:val="22"/>
                <w:szCs w:val="22"/>
                <w:u w:val="single"/>
                <w:vertAlign w:val="superscript"/>
                <w:lang w:val="en-US"/>
              </w:rPr>
              <w:t>b</w:t>
            </w:r>
            <w:proofErr w:type="spellEnd"/>
            <w:r w:rsidRPr="00262F20">
              <w:rPr>
                <w:sz w:val="22"/>
                <w:szCs w:val="22"/>
                <w:u w:val="single"/>
                <w:vertAlign w:val="superscript"/>
                <w:lang w:val="en-US"/>
              </w:rPr>
              <w:t>)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</w:tcBorders>
          </w:tcPr>
          <w:p w:rsidR="00E11363" w:rsidRPr="00262F20" w:rsidRDefault="00E11363" w:rsidP="006F51F1">
            <w:pPr>
              <w:pStyle w:val="Wiley-Standard"/>
              <w:rPr>
                <w:sz w:val="22"/>
                <w:szCs w:val="22"/>
                <w:u w:val="single"/>
                <w:lang w:val="en-US"/>
              </w:rPr>
            </w:pPr>
            <w:r w:rsidRPr="00262F20">
              <w:rPr>
                <w:sz w:val="22"/>
                <w:szCs w:val="22"/>
                <w:u w:val="single"/>
                <w:lang w:val="en-US"/>
              </w:rPr>
              <w:t xml:space="preserve">Particle size </w:t>
            </w:r>
            <w:proofErr w:type="spellStart"/>
            <w:r w:rsidRPr="00262F20">
              <w:rPr>
                <w:sz w:val="22"/>
                <w:szCs w:val="22"/>
                <w:u w:val="single"/>
                <w:lang w:val="en-US"/>
              </w:rPr>
              <w:t>distrib.</w:t>
            </w:r>
            <w:r w:rsidRPr="00262F20">
              <w:rPr>
                <w:sz w:val="22"/>
                <w:szCs w:val="22"/>
                <w:u w:val="single"/>
                <w:vertAlign w:val="superscript"/>
                <w:lang w:val="en-US"/>
              </w:rPr>
              <w:t>c</w:t>
            </w:r>
            <w:proofErr w:type="spellEnd"/>
            <w:r w:rsidRPr="00262F20">
              <w:rPr>
                <w:sz w:val="22"/>
                <w:szCs w:val="22"/>
                <w:u w:val="single"/>
                <w:lang w:val="en-US"/>
              </w:rPr>
              <w:t xml:space="preserve">) </w:t>
            </w:r>
          </w:p>
        </w:tc>
      </w:tr>
      <w:tr w:rsidR="00E11363" w:rsidRPr="00262F20">
        <w:trPr>
          <w:cantSplit/>
          <w:trHeight w:val="525"/>
        </w:trPr>
        <w:tc>
          <w:tcPr>
            <w:tcW w:w="1606" w:type="dxa"/>
            <w:vMerge/>
            <w:tcBorders>
              <w:bottom w:val="single" w:sz="4" w:space="0" w:color="auto"/>
            </w:tcBorders>
          </w:tcPr>
          <w:p w:rsidR="00E11363" w:rsidRPr="00262F20" w:rsidRDefault="00E11363" w:rsidP="006F51F1">
            <w:pPr>
              <w:pStyle w:val="Wiley-Standard"/>
              <w:rPr>
                <w:sz w:val="22"/>
                <w:szCs w:val="22"/>
                <w:lang w:val="en-US"/>
              </w:rPr>
            </w:pPr>
          </w:p>
        </w:tc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E11363" w:rsidRPr="00262F20" w:rsidRDefault="00E11363" w:rsidP="006F51F1">
            <w:pPr>
              <w:pStyle w:val="Wiley-Standard"/>
              <w:rPr>
                <w:sz w:val="22"/>
                <w:szCs w:val="22"/>
                <w:lang w:val="en-US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E11363" w:rsidRPr="00262F20" w:rsidRDefault="00E11363" w:rsidP="00534034">
            <w:pPr>
              <w:pStyle w:val="Wiley-Standard"/>
              <w:pBdr>
                <w:bottom w:val="single" w:sz="4" w:space="1" w:color="auto"/>
              </w:pBdr>
              <w:jc w:val="center"/>
              <w:rPr>
                <w:sz w:val="22"/>
                <w:szCs w:val="22"/>
                <w:lang w:val="en-US"/>
              </w:rPr>
            </w:pPr>
            <w:r w:rsidRPr="00262F20">
              <w:rPr>
                <w:sz w:val="22"/>
                <w:szCs w:val="22"/>
                <w:lang w:val="en-US"/>
              </w:rPr>
              <w:t xml:space="preserve">at 23 </w:t>
            </w:r>
            <w:proofErr w:type="spellStart"/>
            <w:r w:rsidRPr="00262F20">
              <w:rPr>
                <w:sz w:val="22"/>
                <w:szCs w:val="22"/>
                <w:vertAlign w:val="superscript"/>
                <w:lang w:val="en-US"/>
              </w:rPr>
              <w:t>o</w:t>
            </w:r>
            <w:r w:rsidRPr="00262F20">
              <w:rPr>
                <w:sz w:val="22"/>
                <w:szCs w:val="22"/>
                <w:lang w:val="en-US"/>
              </w:rPr>
              <w:t>C</w:t>
            </w:r>
            <w:proofErr w:type="spellEnd"/>
          </w:p>
          <w:p w:rsidR="00E11363" w:rsidRPr="00262F20" w:rsidRDefault="00E11363" w:rsidP="006F51F1">
            <w:pPr>
              <w:pStyle w:val="Wiley-Standard"/>
              <w:jc w:val="center"/>
              <w:rPr>
                <w:sz w:val="22"/>
                <w:szCs w:val="22"/>
                <w:lang w:val="en-US"/>
              </w:rPr>
            </w:pPr>
            <w:r w:rsidRPr="00262F20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E11363" w:rsidRPr="00262F20" w:rsidRDefault="00E11363" w:rsidP="006F51F1">
            <w:pPr>
              <w:pStyle w:val="Wiley-Standard"/>
              <w:pBdr>
                <w:bottom w:val="single" w:sz="4" w:space="1" w:color="auto"/>
              </w:pBdr>
              <w:jc w:val="center"/>
              <w:rPr>
                <w:sz w:val="22"/>
                <w:szCs w:val="22"/>
                <w:lang w:val="en-US"/>
              </w:rPr>
            </w:pPr>
            <w:r w:rsidRPr="00262F20">
              <w:rPr>
                <w:sz w:val="22"/>
                <w:szCs w:val="22"/>
                <w:lang w:val="en-US"/>
              </w:rPr>
              <w:t xml:space="preserve">at 100 </w:t>
            </w:r>
            <w:proofErr w:type="spellStart"/>
            <w:r w:rsidRPr="00262F20">
              <w:rPr>
                <w:sz w:val="22"/>
                <w:szCs w:val="22"/>
                <w:vertAlign w:val="superscript"/>
                <w:lang w:val="en-US"/>
              </w:rPr>
              <w:t>o</w:t>
            </w:r>
            <w:r w:rsidRPr="00262F20">
              <w:rPr>
                <w:sz w:val="22"/>
                <w:szCs w:val="22"/>
                <w:lang w:val="en-US"/>
              </w:rPr>
              <w:t>C</w:t>
            </w:r>
            <w:proofErr w:type="spellEnd"/>
          </w:p>
          <w:p w:rsidR="00E11363" w:rsidRPr="00262F20" w:rsidRDefault="00E11363" w:rsidP="006F51F1">
            <w:pPr>
              <w:pStyle w:val="Wiley-Standard"/>
              <w:jc w:val="center"/>
              <w:rPr>
                <w:sz w:val="22"/>
                <w:szCs w:val="22"/>
                <w:lang w:val="en-US"/>
              </w:rPr>
            </w:pPr>
            <w:r w:rsidRPr="00262F20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E11363" w:rsidRPr="00262F20" w:rsidRDefault="00E11363" w:rsidP="006F51F1">
            <w:pPr>
              <w:pStyle w:val="Wiley-Standard"/>
              <w:pBdr>
                <w:bottom w:val="single" w:sz="4" w:space="1" w:color="auto"/>
              </w:pBdr>
              <w:jc w:val="center"/>
              <w:rPr>
                <w:sz w:val="22"/>
                <w:szCs w:val="22"/>
                <w:lang w:val="en-US"/>
              </w:rPr>
            </w:pPr>
            <w:r w:rsidRPr="00262F20">
              <w:rPr>
                <w:sz w:val="22"/>
                <w:szCs w:val="22"/>
                <w:lang w:val="en-US"/>
              </w:rPr>
              <w:t>90%</w:t>
            </w:r>
          </w:p>
          <w:p w:rsidR="00E11363" w:rsidRPr="00262F20" w:rsidRDefault="00E11363" w:rsidP="006F51F1">
            <w:pPr>
              <w:pStyle w:val="Wiley-Standard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262F20">
              <w:rPr>
                <w:sz w:val="22"/>
                <w:szCs w:val="22"/>
                <w:lang w:val="en-US"/>
              </w:rPr>
              <w:sym w:font="Symbol" w:char="F06D"/>
            </w:r>
            <w:r w:rsidRPr="00262F20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E11363" w:rsidRPr="00262F20" w:rsidRDefault="00E11363" w:rsidP="006F51F1">
            <w:pPr>
              <w:pStyle w:val="Wiley-Standard"/>
              <w:pBdr>
                <w:bottom w:val="single" w:sz="4" w:space="1" w:color="auto"/>
              </w:pBdr>
              <w:jc w:val="center"/>
              <w:rPr>
                <w:sz w:val="22"/>
                <w:szCs w:val="22"/>
                <w:lang w:val="en-US"/>
              </w:rPr>
            </w:pPr>
            <w:r w:rsidRPr="00262F20">
              <w:rPr>
                <w:sz w:val="22"/>
                <w:szCs w:val="22"/>
                <w:lang w:val="en-US"/>
              </w:rPr>
              <w:t>50%</w:t>
            </w:r>
          </w:p>
          <w:p w:rsidR="00E11363" w:rsidRPr="00262F20" w:rsidRDefault="00E11363" w:rsidP="006F51F1">
            <w:pPr>
              <w:pStyle w:val="Wiley-Standard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262F20">
              <w:rPr>
                <w:sz w:val="22"/>
                <w:szCs w:val="22"/>
                <w:lang w:val="en-US"/>
              </w:rPr>
              <w:sym w:font="Symbol" w:char="F06D"/>
            </w:r>
            <w:r w:rsidRPr="00262F20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E11363" w:rsidRPr="00262F20" w:rsidRDefault="00E11363" w:rsidP="006F51F1">
            <w:pPr>
              <w:pStyle w:val="Wiley-Standard"/>
              <w:pBdr>
                <w:bottom w:val="single" w:sz="4" w:space="1" w:color="auto"/>
              </w:pBdr>
              <w:jc w:val="center"/>
              <w:rPr>
                <w:sz w:val="22"/>
                <w:szCs w:val="22"/>
                <w:lang w:val="en-US"/>
              </w:rPr>
            </w:pPr>
            <w:r w:rsidRPr="00262F20">
              <w:rPr>
                <w:sz w:val="22"/>
                <w:szCs w:val="22"/>
                <w:lang w:val="en-US"/>
              </w:rPr>
              <w:t>10%</w:t>
            </w:r>
          </w:p>
          <w:p w:rsidR="00E11363" w:rsidRPr="00262F20" w:rsidRDefault="00E11363" w:rsidP="006F51F1">
            <w:pPr>
              <w:pStyle w:val="Wiley-Standard"/>
              <w:jc w:val="center"/>
              <w:rPr>
                <w:sz w:val="22"/>
                <w:szCs w:val="22"/>
                <w:lang w:val="en-US"/>
              </w:rPr>
            </w:pPr>
            <w:r w:rsidRPr="00262F20">
              <w:rPr>
                <w:sz w:val="22"/>
                <w:szCs w:val="22"/>
                <w:lang w:val="en-US"/>
              </w:rPr>
              <w:sym w:font="Symbol" w:char="F06D"/>
            </w:r>
            <w:r w:rsidRPr="00262F20">
              <w:rPr>
                <w:sz w:val="22"/>
                <w:szCs w:val="22"/>
                <w:lang w:val="en-US"/>
              </w:rPr>
              <w:t>m</w:t>
            </w:r>
          </w:p>
        </w:tc>
      </w:tr>
      <w:tr w:rsidR="00E11363" w:rsidRPr="00262F20">
        <w:trPr>
          <w:cantSplit/>
        </w:trPr>
        <w:tc>
          <w:tcPr>
            <w:tcW w:w="1606" w:type="dxa"/>
            <w:tcBorders>
              <w:top w:val="single" w:sz="4" w:space="0" w:color="auto"/>
            </w:tcBorders>
          </w:tcPr>
          <w:p w:rsidR="00E11363" w:rsidRPr="00262F20" w:rsidRDefault="00E11363" w:rsidP="003667EE">
            <w:pPr>
              <w:pStyle w:val="Wiley-Standard"/>
              <w:rPr>
                <w:sz w:val="22"/>
                <w:szCs w:val="22"/>
                <w:lang w:val="en-US"/>
              </w:rPr>
            </w:pPr>
            <w:r w:rsidRPr="00262F20">
              <w:rPr>
                <w:sz w:val="22"/>
                <w:szCs w:val="22"/>
                <w:lang w:val="en-US"/>
              </w:rPr>
              <w:t>Muscovite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E11363" w:rsidRPr="00262F20" w:rsidRDefault="00E11363" w:rsidP="00051EB7">
            <w:pPr>
              <w:pStyle w:val="Wiley-Standard"/>
              <w:jc w:val="center"/>
              <w:rPr>
                <w:sz w:val="22"/>
                <w:szCs w:val="22"/>
                <w:lang w:val="en-US"/>
              </w:rPr>
            </w:pPr>
            <w:r w:rsidRPr="00262F20">
              <w:rPr>
                <w:sz w:val="22"/>
                <w:szCs w:val="22"/>
                <w:lang w:val="en-US"/>
              </w:rPr>
              <w:t>53.04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E11363" w:rsidRPr="00262F20" w:rsidRDefault="00E11363" w:rsidP="00534034">
            <w:pPr>
              <w:pStyle w:val="Wiley-Standard"/>
              <w:jc w:val="center"/>
              <w:rPr>
                <w:sz w:val="22"/>
                <w:szCs w:val="22"/>
                <w:lang w:val="en-US"/>
              </w:rPr>
            </w:pPr>
            <w:r w:rsidRPr="00262F20">
              <w:rPr>
                <w:sz w:val="22"/>
                <w:szCs w:val="22"/>
                <w:lang w:val="en-US"/>
              </w:rPr>
              <w:t>0.291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E11363" w:rsidRPr="00262F20" w:rsidRDefault="00E11363" w:rsidP="006F51F1">
            <w:pPr>
              <w:pStyle w:val="Wiley-Standard"/>
              <w:jc w:val="center"/>
              <w:rPr>
                <w:sz w:val="22"/>
                <w:szCs w:val="22"/>
                <w:lang w:val="en-US"/>
              </w:rPr>
            </w:pPr>
            <w:r w:rsidRPr="00262F20">
              <w:rPr>
                <w:sz w:val="22"/>
                <w:szCs w:val="22"/>
                <w:lang w:val="en-US"/>
              </w:rPr>
              <w:t>0.314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E11363" w:rsidRPr="00262F20" w:rsidRDefault="00E11363" w:rsidP="006F51F1">
            <w:pPr>
              <w:pStyle w:val="Wiley-Standard"/>
              <w:jc w:val="center"/>
              <w:rPr>
                <w:sz w:val="22"/>
                <w:szCs w:val="22"/>
                <w:lang w:val="en-US"/>
              </w:rPr>
            </w:pPr>
            <w:r w:rsidRPr="00262F20">
              <w:rPr>
                <w:sz w:val="22"/>
                <w:szCs w:val="22"/>
                <w:lang w:val="en-US"/>
              </w:rPr>
              <w:t>22.51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E11363" w:rsidRPr="00262F20" w:rsidRDefault="00E11363" w:rsidP="006F51F1">
            <w:pPr>
              <w:pStyle w:val="Wiley-Standard"/>
              <w:jc w:val="center"/>
              <w:rPr>
                <w:sz w:val="22"/>
                <w:szCs w:val="22"/>
                <w:lang w:val="en-US"/>
              </w:rPr>
            </w:pPr>
            <w:r w:rsidRPr="00262F20">
              <w:rPr>
                <w:sz w:val="22"/>
                <w:szCs w:val="22"/>
                <w:lang w:val="en-US"/>
              </w:rPr>
              <w:t>11.85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:rsidR="00E11363" w:rsidRPr="00262F20" w:rsidRDefault="00E11363" w:rsidP="006F51F1">
            <w:pPr>
              <w:pStyle w:val="Wiley-Standard"/>
              <w:jc w:val="center"/>
              <w:rPr>
                <w:sz w:val="22"/>
                <w:szCs w:val="22"/>
                <w:lang w:val="en-US"/>
              </w:rPr>
            </w:pPr>
            <w:r w:rsidRPr="00262F20">
              <w:rPr>
                <w:sz w:val="22"/>
                <w:szCs w:val="22"/>
                <w:lang w:val="en-US"/>
              </w:rPr>
              <w:t>2.46</w:t>
            </w:r>
          </w:p>
        </w:tc>
      </w:tr>
      <w:tr w:rsidR="00E11363" w:rsidRPr="00262F20">
        <w:trPr>
          <w:cantSplit/>
        </w:trPr>
        <w:tc>
          <w:tcPr>
            <w:tcW w:w="1606" w:type="dxa"/>
            <w:tcBorders>
              <w:bottom w:val="single" w:sz="4" w:space="0" w:color="auto"/>
            </w:tcBorders>
          </w:tcPr>
          <w:p w:rsidR="00E11363" w:rsidRPr="00262F20" w:rsidRDefault="00E11363" w:rsidP="006F51F1">
            <w:pPr>
              <w:pStyle w:val="Wiley-Standard"/>
              <w:rPr>
                <w:sz w:val="22"/>
                <w:szCs w:val="22"/>
                <w:lang w:val="en-US"/>
              </w:rPr>
            </w:pPr>
            <w:r w:rsidRPr="00262F20">
              <w:rPr>
                <w:sz w:val="22"/>
                <w:szCs w:val="22"/>
                <w:lang w:val="en-US"/>
              </w:rPr>
              <w:t>Fe-Muscovite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E11363" w:rsidRPr="00262F20" w:rsidRDefault="00E11363" w:rsidP="006F51F1">
            <w:pPr>
              <w:pStyle w:val="Wiley-Standard"/>
              <w:jc w:val="center"/>
              <w:rPr>
                <w:sz w:val="22"/>
                <w:szCs w:val="22"/>
                <w:lang w:val="en-US"/>
              </w:rPr>
            </w:pPr>
            <w:r w:rsidRPr="00262F20">
              <w:rPr>
                <w:sz w:val="22"/>
                <w:szCs w:val="22"/>
                <w:lang w:val="en-US"/>
              </w:rPr>
              <w:t>47.95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E11363" w:rsidRPr="00262F20" w:rsidRDefault="00E11363" w:rsidP="006F51F1">
            <w:pPr>
              <w:pStyle w:val="Wiley-Standard"/>
              <w:jc w:val="center"/>
              <w:rPr>
                <w:sz w:val="22"/>
                <w:szCs w:val="22"/>
                <w:lang w:val="en-US"/>
              </w:rPr>
            </w:pPr>
            <w:r w:rsidRPr="00262F20">
              <w:rPr>
                <w:sz w:val="22"/>
                <w:szCs w:val="22"/>
                <w:lang w:val="en-US"/>
              </w:rPr>
              <w:t>0.185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E11363" w:rsidRPr="00262F20" w:rsidRDefault="00E11363" w:rsidP="006F51F1">
            <w:pPr>
              <w:pStyle w:val="Wiley-Standard"/>
              <w:jc w:val="center"/>
              <w:rPr>
                <w:sz w:val="22"/>
                <w:szCs w:val="22"/>
                <w:lang w:val="en-US"/>
              </w:rPr>
            </w:pPr>
            <w:r w:rsidRPr="00262F20">
              <w:rPr>
                <w:sz w:val="22"/>
                <w:szCs w:val="22"/>
                <w:lang w:val="en-US"/>
              </w:rPr>
              <w:t>0.266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E11363" w:rsidRPr="00262F20" w:rsidRDefault="00E11363" w:rsidP="006F51F1">
            <w:pPr>
              <w:pStyle w:val="Wiley-Standard"/>
              <w:jc w:val="center"/>
              <w:rPr>
                <w:sz w:val="22"/>
                <w:szCs w:val="22"/>
                <w:lang w:val="en-US"/>
              </w:rPr>
            </w:pPr>
            <w:r w:rsidRPr="00262F20">
              <w:rPr>
                <w:sz w:val="22"/>
                <w:szCs w:val="22"/>
                <w:lang w:val="en-US"/>
              </w:rPr>
              <w:t>26.36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E11363" w:rsidRPr="00262F20" w:rsidRDefault="00E11363" w:rsidP="006F51F1">
            <w:pPr>
              <w:pStyle w:val="Wiley-Standard"/>
              <w:jc w:val="center"/>
              <w:rPr>
                <w:sz w:val="22"/>
                <w:szCs w:val="22"/>
                <w:lang w:val="en-US"/>
              </w:rPr>
            </w:pPr>
            <w:r w:rsidRPr="00262F20">
              <w:rPr>
                <w:sz w:val="22"/>
                <w:szCs w:val="22"/>
                <w:lang w:val="en-US"/>
              </w:rPr>
              <w:t>11.56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E11363" w:rsidRPr="00262F20" w:rsidRDefault="00E11363" w:rsidP="006F51F1">
            <w:pPr>
              <w:pStyle w:val="Wiley-Standard"/>
              <w:jc w:val="center"/>
              <w:rPr>
                <w:sz w:val="22"/>
                <w:szCs w:val="22"/>
                <w:lang w:val="en-US"/>
              </w:rPr>
            </w:pPr>
            <w:r w:rsidRPr="00262F20">
              <w:rPr>
                <w:sz w:val="22"/>
                <w:szCs w:val="22"/>
                <w:lang w:val="en-US"/>
              </w:rPr>
              <w:t>1.57</w:t>
            </w:r>
          </w:p>
        </w:tc>
      </w:tr>
    </w:tbl>
    <w:p w:rsidR="00E11363" w:rsidRPr="00262F20" w:rsidRDefault="00E11363" w:rsidP="00821202">
      <w:pPr>
        <w:pStyle w:val="Location"/>
        <w:spacing w:line="360" w:lineRule="auto"/>
        <w:rPr>
          <w:sz w:val="22"/>
          <w:szCs w:val="22"/>
          <w:vertAlign w:val="superscript"/>
        </w:rPr>
      </w:pPr>
    </w:p>
    <w:p w:rsidR="00E11363" w:rsidRPr="00262F20" w:rsidRDefault="00E11363" w:rsidP="00821202">
      <w:pPr>
        <w:pStyle w:val="Footnote"/>
        <w:spacing w:line="360" w:lineRule="auto"/>
        <w:rPr>
          <w:sz w:val="22"/>
          <w:szCs w:val="22"/>
          <w:lang w:val="en-US"/>
        </w:rPr>
      </w:pPr>
      <w:r w:rsidRPr="00262F20">
        <w:rPr>
          <w:sz w:val="22"/>
          <w:szCs w:val="22"/>
          <w:vertAlign w:val="superscript"/>
          <w:lang w:val="en-US"/>
        </w:rPr>
        <w:t>a)</w:t>
      </w:r>
      <w:r w:rsidRPr="00262F20">
        <w:rPr>
          <w:sz w:val="22"/>
          <w:szCs w:val="22"/>
          <w:lang w:val="en-US"/>
        </w:rPr>
        <w:t xml:space="preserve"> critical pigment volume concentration calculated by linseed oil consumption </w:t>
      </w:r>
    </w:p>
    <w:p w:rsidR="00E11363" w:rsidRPr="00262F20" w:rsidRDefault="00E11363" w:rsidP="00821202">
      <w:pPr>
        <w:pStyle w:val="Footnote"/>
        <w:spacing w:line="360" w:lineRule="auto"/>
        <w:rPr>
          <w:sz w:val="22"/>
          <w:szCs w:val="22"/>
          <w:lang w:val="en-US"/>
        </w:rPr>
      </w:pPr>
      <w:r w:rsidRPr="00262F20">
        <w:rPr>
          <w:sz w:val="22"/>
          <w:szCs w:val="22"/>
          <w:vertAlign w:val="superscript"/>
          <w:lang w:val="en-US"/>
        </w:rPr>
        <w:t xml:space="preserve">b) </w:t>
      </w:r>
      <w:r w:rsidRPr="00262F20">
        <w:rPr>
          <w:sz w:val="22"/>
          <w:szCs w:val="22"/>
          <w:lang w:val="en-US"/>
        </w:rPr>
        <w:t>Determination of water soluble matter for pigments (C</w:t>
      </w:r>
      <w:r w:rsidRPr="00262F20">
        <w:rPr>
          <w:bCs/>
          <w:sz w:val="22"/>
          <w:szCs w:val="22"/>
          <w:lang w:val="en-US"/>
        </w:rPr>
        <w:t>SN EN ISO 787/3</w:t>
      </w:r>
      <w:r w:rsidRPr="00262F20">
        <w:rPr>
          <w:sz w:val="22"/>
          <w:szCs w:val="22"/>
          <w:lang w:val="en-US"/>
        </w:rPr>
        <w:t>)</w:t>
      </w:r>
    </w:p>
    <w:p w:rsidR="00E11363" w:rsidRPr="00262F20" w:rsidRDefault="00E11363" w:rsidP="00821202">
      <w:pPr>
        <w:pStyle w:val="Footnote"/>
        <w:spacing w:line="360" w:lineRule="auto"/>
        <w:rPr>
          <w:sz w:val="22"/>
          <w:szCs w:val="22"/>
          <w:lang w:val="en-US"/>
        </w:rPr>
      </w:pPr>
      <w:r w:rsidRPr="00262F20">
        <w:rPr>
          <w:sz w:val="22"/>
          <w:szCs w:val="22"/>
          <w:vertAlign w:val="superscript"/>
          <w:lang w:val="en-US"/>
        </w:rPr>
        <w:t>c)</w:t>
      </w:r>
      <w:r w:rsidRPr="00262F20">
        <w:rPr>
          <w:sz w:val="22"/>
          <w:szCs w:val="22"/>
          <w:lang w:val="en-US"/>
        </w:rPr>
        <w:t xml:space="preserve"> by laser beam </w:t>
      </w:r>
      <w:proofErr w:type="spellStart"/>
      <w:r w:rsidRPr="00262F20">
        <w:rPr>
          <w:sz w:val="22"/>
          <w:szCs w:val="22"/>
          <w:lang w:val="en-US"/>
        </w:rPr>
        <w:t>difraction</w:t>
      </w:r>
      <w:proofErr w:type="spellEnd"/>
      <w:r w:rsidRPr="00262F20">
        <w:rPr>
          <w:sz w:val="22"/>
          <w:szCs w:val="22"/>
          <w:lang w:val="en-US"/>
        </w:rPr>
        <w:t xml:space="preserve"> </w:t>
      </w:r>
      <w:r w:rsidRPr="00262F20">
        <w:rPr>
          <w:sz w:val="22"/>
          <w:szCs w:val="22"/>
          <w:lang w:val="cs-CZ"/>
        </w:rPr>
        <w:t>(</w:t>
      </w:r>
      <w:r w:rsidRPr="00262F20">
        <w:rPr>
          <w:sz w:val="22"/>
          <w:szCs w:val="22"/>
          <w:lang w:val="en-US"/>
        </w:rPr>
        <w:t>Coulter LS 100)</w:t>
      </w:r>
    </w:p>
    <w:p w:rsidR="00E11363" w:rsidRPr="00262F20" w:rsidRDefault="00E11363" w:rsidP="00821202">
      <w:pPr>
        <w:spacing w:line="360" w:lineRule="auto"/>
        <w:rPr>
          <w:i/>
          <w:iCs/>
          <w:sz w:val="22"/>
          <w:szCs w:val="22"/>
          <w:lang w:val="en-US"/>
        </w:rPr>
      </w:pPr>
    </w:p>
    <w:p w:rsidR="00E11363" w:rsidRPr="00262F20" w:rsidRDefault="00E11363" w:rsidP="00821202">
      <w:pPr>
        <w:pStyle w:val="Nadpis1"/>
        <w:spacing w:line="360" w:lineRule="auto"/>
        <w:rPr>
          <w:sz w:val="22"/>
          <w:szCs w:val="22"/>
          <w:lang w:val="en-US"/>
        </w:rPr>
      </w:pPr>
      <w:r w:rsidRPr="00262F20">
        <w:rPr>
          <w:sz w:val="22"/>
          <w:szCs w:val="22"/>
          <w:lang w:val="en-US"/>
        </w:rPr>
        <w:t>References</w:t>
      </w:r>
    </w:p>
    <w:p w:rsidR="00E11363" w:rsidRPr="00262F20" w:rsidRDefault="00E11363" w:rsidP="00051EB7">
      <w:pPr>
        <w:pStyle w:val="Footnote"/>
        <w:spacing w:before="120"/>
        <w:jc w:val="left"/>
        <w:rPr>
          <w:sz w:val="22"/>
          <w:szCs w:val="22"/>
          <w:lang w:val="en-US"/>
        </w:rPr>
      </w:pPr>
      <w:r w:rsidRPr="00262F20">
        <w:rPr>
          <w:sz w:val="22"/>
          <w:szCs w:val="22"/>
          <w:lang w:val="en-US"/>
        </w:rPr>
        <w:t>[1]</w:t>
      </w:r>
      <w:r w:rsidRPr="00262F20">
        <w:rPr>
          <w:sz w:val="22"/>
          <w:szCs w:val="22"/>
          <w:lang w:val="en-US"/>
        </w:rPr>
        <w:tab/>
        <w:t>Carter</w:t>
      </w:r>
      <w:r w:rsidR="000044B2">
        <w:rPr>
          <w:sz w:val="22"/>
          <w:szCs w:val="22"/>
          <w:lang w:val="en-US"/>
        </w:rPr>
        <w:t xml:space="preserve"> </w:t>
      </w:r>
      <w:r w:rsidR="000044B2" w:rsidRPr="00262F20">
        <w:rPr>
          <w:sz w:val="22"/>
          <w:szCs w:val="22"/>
          <w:lang w:val="en-US"/>
        </w:rPr>
        <w:t>E.</w:t>
      </w:r>
      <w:r w:rsidRPr="00262F20">
        <w:rPr>
          <w:sz w:val="22"/>
          <w:szCs w:val="22"/>
          <w:lang w:val="en-US"/>
        </w:rPr>
        <w:t xml:space="preserve">, </w:t>
      </w:r>
      <w:proofErr w:type="spellStart"/>
      <w:r w:rsidR="00674DDE" w:rsidRPr="00262F20">
        <w:rPr>
          <w:sz w:val="22"/>
          <w:szCs w:val="22"/>
          <w:lang w:val="en-US"/>
        </w:rPr>
        <w:t>Název</w:t>
      </w:r>
      <w:proofErr w:type="spellEnd"/>
      <w:r w:rsidR="00674DDE" w:rsidRPr="00262F20">
        <w:rPr>
          <w:sz w:val="22"/>
          <w:szCs w:val="22"/>
          <w:lang w:val="en-US"/>
        </w:rPr>
        <w:t xml:space="preserve"> </w:t>
      </w:r>
      <w:proofErr w:type="spellStart"/>
      <w:r w:rsidR="00674DDE" w:rsidRPr="00262F20">
        <w:rPr>
          <w:sz w:val="22"/>
          <w:szCs w:val="22"/>
          <w:lang w:val="en-US"/>
        </w:rPr>
        <w:t>příspěvku</w:t>
      </w:r>
      <w:proofErr w:type="spellEnd"/>
      <w:r w:rsidR="00674DDE" w:rsidRPr="00262F20">
        <w:rPr>
          <w:sz w:val="22"/>
          <w:szCs w:val="22"/>
          <w:lang w:val="en-US"/>
        </w:rPr>
        <w:t xml:space="preserve">, </w:t>
      </w:r>
      <w:r w:rsidRPr="00262F20">
        <w:rPr>
          <w:i/>
          <w:sz w:val="22"/>
          <w:szCs w:val="22"/>
          <w:lang w:val="en-US"/>
        </w:rPr>
        <w:t>Pigment and Resin Technol</w:t>
      </w:r>
      <w:r w:rsidRPr="00262F20">
        <w:rPr>
          <w:sz w:val="22"/>
          <w:szCs w:val="22"/>
          <w:lang w:val="en-US"/>
        </w:rPr>
        <w:t>.</w:t>
      </w:r>
      <w:r w:rsidR="00344D53" w:rsidRPr="00262F20">
        <w:rPr>
          <w:sz w:val="22"/>
          <w:szCs w:val="22"/>
          <w:lang w:val="en-US"/>
        </w:rPr>
        <w:t>,</w:t>
      </w:r>
      <w:r w:rsidR="00674DDE" w:rsidRPr="00262F20">
        <w:rPr>
          <w:sz w:val="22"/>
          <w:szCs w:val="22"/>
          <w:lang w:val="en-US"/>
        </w:rPr>
        <w:t xml:space="preserve"> </w:t>
      </w:r>
      <w:r w:rsidRPr="00262F20">
        <w:rPr>
          <w:sz w:val="22"/>
          <w:szCs w:val="22"/>
          <w:lang w:val="en-US"/>
        </w:rPr>
        <w:t xml:space="preserve">1990, 15, </w:t>
      </w:r>
      <w:r w:rsidR="00674DDE" w:rsidRPr="00262F20">
        <w:rPr>
          <w:sz w:val="22"/>
          <w:szCs w:val="22"/>
          <w:lang w:val="en-US"/>
        </w:rPr>
        <w:t>p</w:t>
      </w:r>
      <w:r w:rsidRPr="00262F20">
        <w:rPr>
          <w:sz w:val="22"/>
          <w:szCs w:val="22"/>
          <w:lang w:val="en-US"/>
        </w:rPr>
        <w:t>18.</w:t>
      </w:r>
    </w:p>
    <w:p w:rsidR="00E11363" w:rsidRPr="00262F20" w:rsidRDefault="000044B2" w:rsidP="00051EB7">
      <w:pPr>
        <w:pStyle w:val="Footnote"/>
        <w:spacing w:before="120"/>
        <w:jc w:val="left"/>
        <w:rPr>
          <w:sz w:val="22"/>
          <w:szCs w:val="22"/>
          <w:lang w:val="en-US"/>
        </w:rPr>
      </w:pPr>
      <w:r w:rsidRPr="00262F20">
        <w:rPr>
          <w:sz w:val="22"/>
          <w:szCs w:val="22"/>
          <w:lang w:val="en-US"/>
        </w:rPr>
        <w:t xml:space="preserve"> </w:t>
      </w:r>
      <w:r w:rsidR="00E11363" w:rsidRPr="00262F20">
        <w:rPr>
          <w:sz w:val="22"/>
          <w:szCs w:val="22"/>
          <w:lang w:val="en-US"/>
        </w:rPr>
        <w:t>[4]</w:t>
      </w:r>
      <w:r w:rsidR="00E11363" w:rsidRPr="00262F20">
        <w:rPr>
          <w:sz w:val="22"/>
          <w:szCs w:val="22"/>
          <w:lang w:val="en-US"/>
        </w:rPr>
        <w:tab/>
      </w:r>
      <w:proofErr w:type="spellStart"/>
      <w:r w:rsidR="00E11363" w:rsidRPr="00262F20">
        <w:rPr>
          <w:sz w:val="22"/>
          <w:szCs w:val="22"/>
          <w:lang w:val="en-US"/>
        </w:rPr>
        <w:t>Kalendová</w:t>
      </w:r>
      <w:proofErr w:type="spellEnd"/>
      <w:r w:rsidRPr="000044B2">
        <w:rPr>
          <w:sz w:val="22"/>
          <w:szCs w:val="22"/>
          <w:lang w:val="en-US"/>
        </w:rPr>
        <w:t xml:space="preserve"> </w:t>
      </w:r>
      <w:r w:rsidRPr="00262F20">
        <w:rPr>
          <w:sz w:val="22"/>
          <w:szCs w:val="22"/>
          <w:lang w:val="en-US"/>
        </w:rPr>
        <w:t>A.</w:t>
      </w:r>
      <w:r w:rsidR="00E11363" w:rsidRPr="00262F20">
        <w:rPr>
          <w:sz w:val="22"/>
          <w:szCs w:val="22"/>
          <w:lang w:val="en-US"/>
        </w:rPr>
        <w:t xml:space="preserve">, </w:t>
      </w:r>
      <w:proofErr w:type="spellStart"/>
      <w:r w:rsidR="00E11363" w:rsidRPr="00262F20">
        <w:rPr>
          <w:sz w:val="22"/>
          <w:szCs w:val="22"/>
          <w:lang w:val="en-US"/>
        </w:rPr>
        <w:t>Tamchynová</w:t>
      </w:r>
      <w:proofErr w:type="spellEnd"/>
      <w:r w:rsidRPr="00262F20">
        <w:rPr>
          <w:sz w:val="22"/>
          <w:szCs w:val="22"/>
          <w:lang w:val="en-US"/>
        </w:rPr>
        <w:t xml:space="preserve"> P.</w:t>
      </w:r>
      <w:r w:rsidR="00E11363" w:rsidRPr="00262F20">
        <w:rPr>
          <w:sz w:val="22"/>
          <w:szCs w:val="22"/>
          <w:lang w:val="en-US"/>
        </w:rPr>
        <w:t>,</w:t>
      </w:r>
      <w:r w:rsidR="00344D53" w:rsidRPr="00262F20">
        <w:rPr>
          <w:sz w:val="22"/>
          <w:szCs w:val="22"/>
          <w:lang w:val="en-US"/>
        </w:rPr>
        <w:t xml:space="preserve"> </w:t>
      </w:r>
      <w:r w:rsidR="00E11363" w:rsidRPr="00262F20">
        <w:rPr>
          <w:sz w:val="22"/>
          <w:szCs w:val="22"/>
          <w:lang w:val="en-US"/>
        </w:rPr>
        <w:t>in: 5th International Conference</w:t>
      </w:r>
      <w:r>
        <w:rPr>
          <w:sz w:val="22"/>
          <w:szCs w:val="22"/>
          <w:lang w:val="en-US"/>
        </w:rPr>
        <w:t xml:space="preserve"> </w:t>
      </w:r>
      <w:r w:rsidR="00E11363" w:rsidRPr="00262F20">
        <w:rPr>
          <w:sz w:val="22"/>
          <w:szCs w:val="22"/>
          <w:lang w:val="en-US"/>
        </w:rPr>
        <w:t xml:space="preserve">Inorganic </w:t>
      </w:r>
    </w:p>
    <w:p w:rsidR="00E11363" w:rsidRPr="00262F20" w:rsidRDefault="00E11363" w:rsidP="003667EE">
      <w:pPr>
        <w:pStyle w:val="Footnote"/>
        <w:spacing w:before="120"/>
        <w:ind w:firstLine="708"/>
        <w:jc w:val="left"/>
        <w:rPr>
          <w:sz w:val="22"/>
          <w:szCs w:val="22"/>
          <w:lang w:val="en-US"/>
        </w:rPr>
      </w:pPr>
      <w:r w:rsidRPr="00262F20">
        <w:rPr>
          <w:sz w:val="22"/>
          <w:szCs w:val="22"/>
          <w:lang w:val="en-US"/>
        </w:rPr>
        <w:t xml:space="preserve">Pigments and Binders“, </w:t>
      </w:r>
      <w:proofErr w:type="spellStart"/>
      <w:r w:rsidRPr="00262F20">
        <w:rPr>
          <w:sz w:val="22"/>
          <w:szCs w:val="22"/>
          <w:lang w:val="en-US"/>
        </w:rPr>
        <w:t>Ústí</w:t>
      </w:r>
      <w:proofErr w:type="spellEnd"/>
      <w:r w:rsidRPr="00262F20">
        <w:rPr>
          <w:sz w:val="22"/>
          <w:szCs w:val="22"/>
          <w:lang w:val="en-US"/>
        </w:rPr>
        <w:t xml:space="preserve"> </w:t>
      </w:r>
      <w:proofErr w:type="spellStart"/>
      <w:r w:rsidRPr="00262F20">
        <w:rPr>
          <w:sz w:val="22"/>
          <w:szCs w:val="22"/>
          <w:lang w:val="en-US"/>
        </w:rPr>
        <w:t>nad</w:t>
      </w:r>
      <w:proofErr w:type="spellEnd"/>
      <w:r w:rsidRPr="00262F20">
        <w:rPr>
          <w:sz w:val="22"/>
          <w:szCs w:val="22"/>
          <w:lang w:val="en-US"/>
        </w:rPr>
        <w:t xml:space="preserve"> Labem, Czech Republic, 2001, p154</w:t>
      </w:r>
      <w:r w:rsidR="000044B2">
        <w:rPr>
          <w:sz w:val="22"/>
          <w:szCs w:val="22"/>
          <w:lang w:val="en-US"/>
        </w:rPr>
        <w:t>–</w:t>
      </w:r>
      <w:r w:rsidRPr="00262F20">
        <w:rPr>
          <w:sz w:val="22"/>
          <w:szCs w:val="22"/>
          <w:lang w:val="en-US"/>
        </w:rPr>
        <w:t>158.</w:t>
      </w:r>
    </w:p>
    <w:sectPr w:rsidR="00E11363" w:rsidRPr="00262F20" w:rsidSect="00890134">
      <w:footerReference w:type="even" r:id="rId10"/>
      <w:footerReference w:type="default" r:id="rId11"/>
      <w:pgSz w:w="11906" w:h="16838"/>
      <w:pgMar w:top="993" w:right="1418" w:bottom="1079" w:left="1418" w:header="964" w:footer="9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6394" w:rsidRDefault="00D06394">
      <w:r>
        <w:separator/>
      </w:r>
    </w:p>
  </w:endnote>
  <w:endnote w:type="continuationSeparator" w:id="0">
    <w:p w:rsidR="00D06394" w:rsidRDefault="00D0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Wingdings 3">
    <w:panose1 w:val="050401020108070707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75E2" w:rsidRDefault="005E75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:rsidR="005E75E2" w:rsidRDefault="005E75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75E2" w:rsidRDefault="005E75E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6394" w:rsidRDefault="00D06394">
      <w:r>
        <w:separator/>
      </w:r>
    </w:p>
  </w:footnote>
  <w:footnote w:type="continuationSeparator" w:id="0">
    <w:p w:rsidR="00D06394" w:rsidRDefault="00D06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6B05BA6"/>
    <w:lvl w:ilvl="0">
      <w:numFmt w:val="decimal"/>
      <w:lvlText w:val="*"/>
      <w:lvlJc w:val="left"/>
    </w:lvl>
  </w:abstractNum>
  <w:abstractNum w:abstractNumId="1" w15:restartNumberingAfterBreak="0">
    <w:nsid w:val="027864F9"/>
    <w:multiLevelType w:val="hybridMultilevel"/>
    <w:tmpl w:val="A8541DA4"/>
    <w:lvl w:ilvl="0" w:tplc="A6C2DBD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50CCE"/>
    <w:multiLevelType w:val="hybridMultilevel"/>
    <w:tmpl w:val="DC08975E"/>
    <w:lvl w:ilvl="0" w:tplc="8AD804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07779"/>
    <w:multiLevelType w:val="hybridMultilevel"/>
    <w:tmpl w:val="533A66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F94C2E"/>
    <w:multiLevelType w:val="singleLevel"/>
    <w:tmpl w:val="85B62CD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4A920C5C"/>
    <w:multiLevelType w:val="hybridMultilevel"/>
    <w:tmpl w:val="533A6694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28310A"/>
    <w:multiLevelType w:val="singleLevel"/>
    <w:tmpl w:val="85B62CD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6BB12AE6"/>
    <w:multiLevelType w:val="hybridMultilevel"/>
    <w:tmpl w:val="E80CD34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0B1"/>
    <w:rsid w:val="000044B2"/>
    <w:rsid w:val="00014284"/>
    <w:rsid w:val="00051EB7"/>
    <w:rsid w:val="00052C71"/>
    <w:rsid w:val="0009555B"/>
    <w:rsid w:val="000F6C9F"/>
    <w:rsid w:val="001611F4"/>
    <w:rsid w:val="00166475"/>
    <w:rsid w:val="00232E74"/>
    <w:rsid w:val="00262F20"/>
    <w:rsid w:val="00264FD1"/>
    <w:rsid w:val="002A10D8"/>
    <w:rsid w:val="002C08C3"/>
    <w:rsid w:val="002E68F7"/>
    <w:rsid w:val="00320466"/>
    <w:rsid w:val="00344D53"/>
    <w:rsid w:val="003667EE"/>
    <w:rsid w:val="00391A94"/>
    <w:rsid w:val="003E4220"/>
    <w:rsid w:val="00414219"/>
    <w:rsid w:val="00487A6B"/>
    <w:rsid w:val="004A7134"/>
    <w:rsid w:val="00534034"/>
    <w:rsid w:val="0058465A"/>
    <w:rsid w:val="005E75E2"/>
    <w:rsid w:val="006219DF"/>
    <w:rsid w:val="0067298D"/>
    <w:rsid w:val="00674DDE"/>
    <w:rsid w:val="00683655"/>
    <w:rsid w:val="006B244C"/>
    <w:rsid w:val="006C7ADC"/>
    <w:rsid w:val="006F51F1"/>
    <w:rsid w:val="00731705"/>
    <w:rsid w:val="00752320"/>
    <w:rsid w:val="007A610F"/>
    <w:rsid w:val="0080294F"/>
    <w:rsid w:val="00821202"/>
    <w:rsid w:val="00842078"/>
    <w:rsid w:val="00864CA8"/>
    <w:rsid w:val="00890134"/>
    <w:rsid w:val="0090461C"/>
    <w:rsid w:val="00927878"/>
    <w:rsid w:val="009342B4"/>
    <w:rsid w:val="009B363E"/>
    <w:rsid w:val="009F3F53"/>
    <w:rsid w:val="009F4C04"/>
    <w:rsid w:val="00A158A8"/>
    <w:rsid w:val="00A315F1"/>
    <w:rsid w:val="00AE3004"/>
    <w:rsid w:val="00AE322C"/>
    <w:rsid w:val="00AF4E89"/>
    <w:rsid w:val="00B03025"/>
    <w:rsid w:val="00B70589"/>
    <w:rsid w:val="00BA00B1"/>
    <w:rsid w:val="00BA6A58"/>
    <w:rsid w:val="00C34E8F"/>
    <w:rsid w:val="00CC1DE9"/>
    <w:rsid w:val="00D06394"/>
    <w:rsid w:val="00D47043"/>
    <w:rsid w:val="00DD46AA"/>
    <w:rsid w:val="00DE3373"/>
    <w:rsid w:val="00E11363"/>
    <w:rsid w:val="00F00EE3"/>
    <w:rsid w:val="00F12791"/>
    <w:rsid w:val="00F57EEB"/>
    <w:rsid w:val="00F618DB"/>
    <w:rsid w:val="00FD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5EA7E"/>
  <w15:chartTrackingRefBased/>
  <w15:docId w15:val="{2FFA2B5C-77CB-4A13-B42B-46879CBF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bCs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line="360" w:lineRule="auto"/>
      <w:jc w:val="both"/>
    </w:pPr>
    <w:rPr>
      <w:szCs w:val="20"/>
    </w:rPr>
  </w:style>
  <w:style w:type="paragraph" w:styleId="Zkladntext3">
    <w:name w:val="Body Text 3"/>
    <w:basedOn w:val="Normln"/>
    <w:pPr>
      <w:jc w:val="both"/>
    </w:pPr>
    <w:rPr>
      <w:i/>
      <w:iCs/>
      <w:sz w:val="2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Wiley-Standard">
    <w:name w:val="Wiley-Standard"/>
    <w:basedOn w:val="Normln"/>
    <w:pPr>
      <w:widowControl w:val="0"/>
      <w:spacing w:line="360" w:lineRule="auto"/>
      <w:jc w:val="both"/>
    </w:pPr>
    <w:rPr>
      <w:szCs w:val="20"/>
      <w:lang w:val="de-DE"/>
    </w:rPr>
  </w:style>
  <w:style w:type="paragraph" w:customStyle="1" w:styleId="Footnote">
    <w:name w:val="Footnote"/>
    <w:basedOn w:val="Normln"/>
    <w:pPr>
      <w:widowControl w:val="0"/>
      <w:jc w:val="both"/>
    </w:pPr>
    <w:rPr>
      <w:sz w:val="20"/>
      <w:szCs w:val="20"/>
      <w:lang w:val="de-DE"/>
    </w:rPr>
  </w:style>
  <w:style w:type="paragraph" w:customStyle="1" w:styleId="Location">
    <w:name w:val="Location"/>
    <w:basedOn w:val="Normln"/>
    <w:pPr>
      <w:keepNext/>
      <w:widowControl w:val="0"/>
      <w:tabs>
        <w:tab w:val="left" w:pos="1134"/>
      </w:tabs>
      <w:ind w:left="1134"/>
      <w:jc w:val="both"/>
      <w:outlineLvl w:val="0"/>
    </w:pPr>
    <w:rPr>
      <w:szCs w:val="20"/>
      <w:lang w:val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vbloku">
    <w:name w:val="Block Text"/>
    <w:basedOn w:val="Normln"/>
    <w:pPr>
      <w:ind w:left="567" w:right="567"/>
    </w:pPr>
    <w:rPr>
      <w:rFonts w:ascii="Arial" w:hAnsi="Arial"/>
    </w:rPr>
  </w:style>
  <w:style w:type="paragraph" w:styleId="Textbubliny">
    <w:name w:val="Balloon Text"/>
    <w:basedOn w:val="Normln"/>
    <w:link w:val="TextbublinyChar"/>
    <w:rsid w:val="007A61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A610F"/>
    <w:rPr>
      <w:rFonts w:ascii="Tahoma" w:hAnsi="Tahoma" w:cs="Tahoma"/>
      <w:sz w:val="16"/>
      <w:szCs w:val="16"/>
    </w:rPr>
  </w:style>
  <w:style w:type="character" w:styleId="Hypertextovodkaz">
    <w:name w:val="Hyperlink"/>
    <w:rsid w:val="00674DD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14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antos@chemagazin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igmentyapojiv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Microsoft_Excelu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55837563451777"/>
          <c:y val="7.5581395348837219E-2"/>
          <c:w val="0.73350253807106591"/>
          <c:h val="0.6889534883720931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Fe - muscovite</c:v>
                </c:pt>
              </c:strCache>
            </c:strRef>
          </c:tx>
          <c:spPr>
            <a:ln w="12656">
              <a:solidFill>
                <a:srgbClr val="0000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Sheet1!$B$1:$H$1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1.7</c:v>
                </c:pt>
                <c:pt idx="1">
                  <c:v>2</c:v>
                </c:pt>
                <c:pt idx="2">
                  <c:v>2.226</c:v>
                </c:pt>
                <c:pt idx="3">
                  <c:v>2.4</c:v>
                </c:pt>
                <c:pt idx="4">
                  <c:v>2.4750000000000001</c:v>
                </c:pt>
                <c:pt idx="5">
                  <c:v>2.5</c:v>
                </c:pt>
                <c:pt idx="6">
                  <c:v>2.5150000000000001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0867-F942-8C0A-ADCCE9BB572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muscovite</c:v>
                </c:pt>
              </c:strCache>
            </c:strRef>
          </c:tx>
          <c:spPr>
            <a:ln w="12656">
              <a:solidFill>
                <a:srgbClr val="000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Sheet1!$B$1:$H$1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</c:numCache>
            </c:numRef>
          </c:cat>
          <c:val>
            <c:numRef>
              <c:f>Sheet1!$B$3:$H$3</c:f>
              <c:numCache>
                <c:formatCode>General</c:formatCode>
                <c:ptCount val="7"/>
                <c:pt idx="0">
                  <c:v>1.7</c:v>
                </c:pt>
                <c:pt idx="1">
                  <c:v>1.877</c:v>
                </c:pt>
                <c:pt idx="2">
                  <c:v>1.962</c:v>
                </c:pt>
                <c:pt idx="3">
                  <c:v>2</c:v>
                </c:pt>
                <c:pt idx="4">
                  <c:v>2.0219999999999998</c:v>
                </c:pt>
                <c:pt idx="5">
                  <c:v>2.0299999999999998</c:v>
                </c:pt>
                <c:pt idx="6">
                  <c:v>2.0379999999999998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0867-F942-8C0A-ADCCE9BB57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29381432"/>
        <c:axId val="673961512"/>
      </c:lineChart>
      <c:catAx>
        <c:axId val="5293814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97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PVC / %</a:t>
                </a:r>
              </a:p>
            </c:rich>
          </c:tx>
          <c:layout>
            <c:manualLayout>
              <c:xMode val="edge"/>
              <c:yMode val="edge"/>
              <c:x val="0.47969543147208121"/>
              <c:y val="0.87790697674418594"/>
            </c:manualLayout>
          </c:layout>
          <c:overlay val="0"/>
          <c:spPr>
            <a:noFill/>
            <a:ln w="25312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67396151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673961512"/>
        <c:scaling>
          <c:orientation val="minMax"/>
          <c:max val="2.8"/>
          <c:min val="1.4"/>
        </c:scaling>
        <c:delete val="0"/>
        <c:axPos val="l"/>
        <c:title>
          <c:tx>
            <c:rich>
              <a:bodyPr/>
              <a:lstStyle/>
              <a:p>
                <a:pPr>
                  <a:defRPr sz="997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Adhesion / MPa</a:t>
                </a:r>
              </a:p>
            </c:rich>
          </c:tx>
          <c:layout>
            <c:manualLayout>
              <c:xMode val="edge"/>
              <c:yMode val="edge"/>
              <c:x val="2.7918781725888325E-2"/>
              <c:y val="0.24127906976744184"/>
            </c:manualLayout>
          </c:layout>
          <c:overlay val="0"/>
          <c:spPr>
            <a:noFill/>
            <a:ln w="25312">
              <a:noFill/>
            </a:ln>
          </c:spPr>
        </c:title>
        <c:numFmt formatCode="0.0" sourceLinked="0"/>
        <c:majorTickMark val="in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529381432"/>
        <c:crosses val="autoZero"/>
        <c:crossBetween val="midCat"/>
        <c:majorUnit val="0.2"/>
        <c:minorUnit val="0.1"/>
      </c:valAx>
      <c:spPr>
        <a:solidFill>
          <a:srgbClr val="FFFFFF"/>
        </a:solidFill>
        <a:ln w="2531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7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Formát  příspěvku pro sborník</vt:lpstr>
    </vt:vector>
  </TitlesOfParts>
  <Company>Univerzita Pardubice</Company>
  <LinksUpToDate>false</LinksUpToDate>
  <CharactersWithSpaces>4221</CharactersWithSpaces>
  <SharedDoc>false</SharedDoc>
  <HLinks>
    <vt:vector size="12" baseType="variant">
      <vt:variant>
        <vt:i4>1835130</vt:i4>
      </vt:variant>
      <vt:variant>
        <vt:i4>3</vt:i4>
      </vt:variant>
      <vt:variant>
        <vt:i4>0</vt:i4>
      </vt:variant>
      <vt:variant>
        <vt:i4>5</vt:i4>
      </vt:variant>
      <vt:variant>
        <vt:lpwstr>mailto:petr.antos@chemagazin.cz</vt:lpwstr>
      </vt:variant>
      <vt:variant>
        <vt:lpwstr/>
      </vt:variant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mailto:info@chemagazin.cz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Formát  příspěvku pro sborník</dc:title>
  <dc:subject/>
  <dc:creator>doc.Ing. dr. Andrea Kalendová</dc:creator>
  <cp:keywords/>
  <cp:lastModifiedBy>Tomáš Rotrekl</cp:lastModifiedBy>
  <cp:revision>4</cp:revision>
  <cp:lastPrinted>2014-02-19T12:55:00Z</cp:lastPrinted>
  <dcterms:created xsi:type="dcterms:W3CDTF">2018-05-17T08:58:00Z</dcterms:created>
  <dcterms:modified xsi:type="dcterms:W3CDTF">2020-06-18T15:34:00Z</dcterms:modified>
</cp:coreProperties>
</file>